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9C783F9" w14:textId="77777777" w:rsidR="0087512F" w:rsidRPr="002774EA" w:rsidRDefault="0087512F" w:rsidP="0087512F">
      <w:pPr>
        <w:jc w:val="right"/>
        <w:rPr>
          <w:rFonts w:ascii="Arial" w:hAnsi="Arial" w:cs="Arial"/>
          <w:sz w:val="21"/>
          <w:szCs w:val="21"/>
        </w:rPr>
      </w:pPr>
    </w:p>
    <w:p w14:paraId="448B768D" w14:textId="77777777" w:rsidR="0087512F" w:rsidRPr="00951D0A" w:rsidRDefault="0087512F" w:rsidP="0087512F">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354FC728" w14:textId="77777777" w:rsidR="0087512F" w:rsidRDefault="0087512F" w:rsidP="0087512F">
      <w:pPr>
        <w:pStyle w:val="BodyText1"/>
        <w:rPr>
          <w:rFonts w:ascii="Arial" w:hAnsi="Arial" w:cs="Arial"/>
          <w:b/>
          <w:bCs/>
          <w:sz w:val="21"/>
          <w:szCs w:val="21"/>
        </w:rPr>
      </w:pPr>
    </w:p>
    <w:p w14:paraId="50980B64" w14:textId="77777777" w:rsidR="0087512F" w:rsidRDefault="0087512F" w:rsidP="0087512F">
      <w:pPr>
        <w:pStyle w:val="BodyText1"/>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802"/>
      </w:tblGrid>
      <w:tr w:rsidR="007274A2" w:rsidRPr="007274A2" w14:paraId="322224F0" w14:textId="77777777" w:rsidTr="35B2AC91">
        <w:tc>
          <w:tcPr>
            <w:tcW w:w="1838" w:type="dxa"/>
          </w:tcPr>
          <w:p w14:paraId="145AFD9A" w14:textId="77777777" w:rsidR="007274A2" w:rsidRPr="00FA70C7" w:rsidRDefault="007274A2" w:rsidP="005302C5">
            <w:pPr>
              <w:rPr>
                <w:rFonts w:ascii="Arial" w:hAnsi="Arial" w:cs="Arial"/>
                <w:b/>
                <w:bCs/>
                <w:sz w:val="21"/>
                <w:szCs w:val="21"/>
              </w:rPr>
            </w:pPr>
            <w:r w:rsidRPr="00FA70C7">
              <w:rPr>
                <w:rFonts w:ascii="Arial" w:hAnsi="Arial" w:cs="Arial"/>
                <w:b/>
                <w:bCs/>
                <w:sz w:val="21"/>
                <w:szCs w:val="21"/>
              </w:rPr>
              <w:t>Job Title</w:t>
            </w:r>
          </w:p>
        </w:tc>
        <w:tc>
          <w:tcPr>
            <w:tcW w:w="6802" w:type="dxa"/>
          </w:tcPr>
          <w:p w14:paraId="716C80D6" w14:textId="3391D485" w:rsidR="007274A2" w:rsidRPr="00FA70C7" w:rsidRDefault="008B6264" w:rsidP="005302C5">
            <w:pPr>
              <w:rPr>
                <w:rFonts w:ascii="Arial" w:hAnsi="Arial" w:cs="Arial"/>
                <w:sz w:val="21"/>
                <w:szCs w:val="21"/>
              </w:rPr>
            </w:pPr>
            <w:r w:rsidRPr="00FA70C7">
              <w:rPr>
                <w:rFonts w:ascii="Arial" w:hAnsi="Arial" w:cs="Arial"/>
                <w:sz w:val="21"/>
                <w:szCs w:val="21"/>
              </w:rPr>
              <w:t xml:space="preserve">Programme </w:t>
            </w:r>
            <w:r w:rsidR="007274A2" w:rsidRPr="00FA70C7">
              <w:rPr>
                <w:rFonts w:ascii="Arial" w:hAnsi="Arial" w:cs="Arial"/>
                <w:sz w:val="21"/>
                <w:szCs w:val="21"/>
              </w:rPr>
              <w:t>Regulatory</w:t>
            </w:r>
            <w:r w:rsidR="2C622FD1" w:rsidRPr="00FA70C7">
              <w:rPr>
                <w:rFonts w:ascii="Arial" w:hAnsi="Arial" w:cs="Arial"/>
                <w:sz w:val="21"/>
                <w:szCs w:val="21"/>
              </w:rPr>
              <w:t xml:space="preserve"> </w:t>
            </w:r>
            <w:r w:rsidR="00F337BC" w:rsidRPr="00FA70C7">
              <w:rPr>
                <w:rFonts w:ascii="Arial" w:hAnsi="Arial" w:cs="Arial"/>
                <w:sz w:val="21"/>
                <w:szCs w:val="21"/>
              </w:rPr>
              <w:t>Compliance Manager</w:t>
            </w:r>
          </w:p>
          <w:p w14:paraId="01BFB227" w14:textId="77777777" w:rsidR="007274A2" w:rsidRPr="00FA70C7" w:rsidRDefault="007274A2" w:rsidP="00FA70C7">
            <w:pPr>
              <w:rPr>
                <w:rFonts w:ascii="Arial" w:hAnsi="Arial" w:cs="Arial"/>
                <w:sz w:val="21"/>
                <w:szCs w:val="21"/>
              </w:rPr>
            </w:pPr>
          </w:p>
        </w:tc>
      </w:tr>
      <w:tr w:rsidR="007274A2" w:rsidRPr="007274A2" w14:paraId="21B8CAE8" w14:textId="77777777" w:rsidTr="35B2AC91">
        <w:tc>
          <w:tcPr>
            <w:tcW w:w="1838" w:type="dxa"/>
          </w:tcPr>
          <w:p w14:paraId="62EFC974" w14:textId="77777777" w:rsidR="007274A2" w:rsidRPr="007274A2" w:rsidRDefault="007274A2" w:rsidP="005302C5">
            <w:pPr>
              <w:rPr>
                <w:rFonts w:ascii="Arial" w:hAnsi="Arial" w:cs="Arial"/>
                <w:b/>
                <w:bCs/>
                <w:sz w:val="21"/>
                <w:szCs w:val="21"/>
              </w:rPr>
            </w:pPr>
            <w:r w:rsidRPr="007274A2">
              <w:rPr>
                <w:rFonts w:ascii="Arial" w:hAnsi="Arial" w:cs="Arial"/>
                <w:b/>
                <w:bCs/>
                <w:sz w:val="21"/>
                <w:szCs w:val="21"/>
              </w:rPr>
              <w:t>Department</w:t>
            </w:r>
          </w:p>
        </w:tc>
        <w:tc>
          <w:tcPr>
            <w:tcW w:w="6802" w:type="dxa"/>
          </w:tcPr>
          <w:p w14:paraId="54733AE6" w14:textId="77777777" w:rsidR="007274A2" w:rsidRDefault="007274A2" w:rsidP="005302C5">
            <w:pPr>
              <w:rPr>
                <w:rFonts w:ascii="Arial" w:hAnsi="Arial" w:cs="Arial"/>
                <w:sz w:val="21"/>
                <w:szCs w:val="21"/>
              </w:rPr>
            </w:pPr>
            <w:r w:rsidRPr="007274A2">
              <w:rPr>
                <w:rFonts w:ascii="Arial" w:hAnsi="Arial" w:cs="Arial"/>
                <w:sz w:val="21"/>
                <w:szCs w:val="21"/>
              </w:rPr>
              <w:t>School of Healthcare and Nursing</w:t>
            </w:r>
          </w:p>
          <w:p w14:paraId="241055D0" w14:textId="77777777" w:rsidR="007274A2" w:rsidRPr="007274A2" w:rsidRDefault="007274A2" w:rsidP="005302C5">
            <w:pPr>
              <w:rPr>
                <w:rFonts w:ascii="Arial" w:hAnsi="Arial" w:cs="Arial"/>
                <w:sz w:val="21"/>
                <w:szCs w:val="21"/>
              </w:rPr>
            </w:pPr>
          </w:p>
        </w:tc>
      </w:tr>
      <w:tr w:rsidR="007274A2" w:rsidRPr="007274A2" w14:paraId="73483932" w14:textId="77777777" w:rsidTr="35B2AC91">
        <w:tc>
          <w:tcPr>
            <w:tcW w:w="1838" w:type="dxa"/>
          </w:tcPr>
          <w:p w14:paraId="494CDE8D" w14:textId="77777777" w:rsidR="007274A2" w:rsidRPr="007274A2" w:rsidRDefault="007274A2" w:rsidP="005302C5">
            <w:pPr>
              <w:rPr>
                <w:rFonts w:ascii="Arial" w:hAnsi="Arial" w:cs="Arial"/>
                <w:b/>
                <w:bCs/>
                <w:sz w:val="21"/>
                <w:szCs w:val="21"/>
              </w:rPr>
            </w:pPr>
            <w:r w:rsidRPr="007274A2">
              <w:rPr>
                <w:rFonts w:ascii="Arial" w:hAnsi="Arial" w:cs="Arial"/>
                <w:b/>
                <w:bCs/>
                <w:sz w:val="21"/>
                <w:szCs w:val="21"/>
              </w:rPr>
              <w:t>Location</w:t>
            </w:r>
          </w:p>
        </w:tc>
        <w:tc>
          <w:tcPr>
            <w:tcW w:w="6802" w:type="dxa"/>
          </w:tcPr>
          <w:p w14:paraId="2BC75B63" w14:textId="77777777" w:rsidR="007274A2" w:rsidRDefault="007274A2" w:rsidP="005302C5">
            <w:pPr>
              <w:rPr>
                <w:rFonts w:ascii="Arial" w:hAnsi="Arial" w:cs="Arial"/>
                <w:sz w:val="21"/>
                <w:szCs w:val="21"/>
              </w:rPr>
            </w:pPr>
            <w:r w:rsidRPr="007274A2">
              <w:rPr>
                <w:rFonts w:ascii="Arial" w:hAnsi="Arial" w:cs="Arial"/>
                <w:sz w:val="21"/>
                <w:szCs w:val="21"/>
              </w:rPr>
              <w:t>London Waterloo (with hybrid working)</w:t>
            </w:r>
          </w:p>
          <w:p w14:paraId="2502B0E0" w14:textId="77777777" w:rsidR="007274A2" w:rsidRPr="007274A2" w:rsidRDefault="007274A2" w:rsidP="005302C5">
            <w:pPr>
              <w:rPr>
                <w:rFonts w:ascii="Arial" w:hAnsi="Arial" w:cs="Arial"/>
                <w:sz w:val="21"/>
                <w:szCs w:val="21"/>
              </w:rPr>
            </w:pPr>
          </w:p>
        </w:tc>
      </w:tr>
      <w:tr w:rsidR="007274A2" w:rsidRPr="007274A2" w14:paraId="06D8BF9F" w14:textId="77777777" w:rsidTr="35B2AC91">
        <w:tc>
          <w:tcPr>
            <w:tcW w:w="1838" w:type="dxa"/>
          </w:tcPr>
          <w:p w14:paraId="34C7195E" w14:textId="77777777" w:rsidR="007274A2" w:rsidRPr="007274A2" w:rsidRDefault="007274A2" w:rsidP="005302C5">
            <w:pPr>
              <w:rPr>
                <w:rFonts w:ascii="Arial" w:hAnsi="Arial" w:cs="Arial"/>
                <w:b/>
                <w:bCs/>
                <w:sz w:val="21"/>
                <w:szCs w:val="21"/>
              </w:rPr>
            </w:pPr>
            <w:r w:rsidRPr="007274A2">
              <w:rPr>
                <w:rFonts w:ascii="Arial" w:hAnsi="Arial" w:cs="Arial"/>
                <w:b/>
                <w:bCs/>
                <w:sz w:val="21"/>
                <w:szCs w:val="21"/>
              </w:rPr>
              <w:t>Contract type</w:t>
            </w:r>
          </w:p>
        </w:tc>
        <w:tc>
          <w:tcPr>
            <w:tcW w:w="6802" w:type="dxa"/>
          </w:tcPr>
          <w:p w14:paraId="7DF04FCC" w14:textId="77777777" w:rsidR="007274A2" w:rsidRDefault="007274A2" w:rsidP="005302C5">
            <w:pPr>
              <w:rPr>
                <w:rFonts w:ascii="Arial" w:hAnsi="Arial" w:cs="Arial"/>
                <w:sz w:val="21"/>
                <w:szCs w:val="21"/>
              </w:rPr>
            </w:pPr>
            <w:r w:rsidRPr="007274A2">
              <w:rPr>
                <w:rFonts w:ascii="Arial" w:hAnsi="Arial" w:cs="Arial"/>
                <w:sz w:val="21"/>
                <w:szCs w:val="21"/>
              </w:rPr>
              <w:t>Full time and permanent</w:t>
            </w:r>
          </w:p>
          <w:p w14:paraId="5524FBB2" w14:textId="77777777" w:rsidR="007274A2" w:rsidRPr="007274A2" w:rsidRDefault="007274A2" w:rsidP="005302C5">
            <w:pPr>
              <w:rPr>
                <w:rFonts w:ascii="Arial" w:hAnsi="Arial" w:cs="Arial"/>
                <w:sz w:val="21"/>
                <w:szCs w:val="21"/>
              </w:rPr>
            </w:pPr>
          </w:p>
        </w:tc>
      </w:tr>
      <w:tr w:rsidR="007274A2" w:rsidRPr="007274A2" w14:paraId="28C6DA7F" w14:textId="77777777" w:rsidTr="35B2AC91">
        <w:tc>
          <w:tcPr>
            <w:tcW w:w="1838" w:type="dxa"/>
          </w:tcPr>
          <w:p w14:paraId="443BF614" w14:textId="77777777" w:rsidR="007274A2" w:rsidRPr="007274A2" w:rsidRDefault="007274A2" w:rsidP="005302C5">
            <w:pPr>
              <w:rPr>
                <w:rFonts w:ascii="Arial" w:hAnsi="Arial" w:cs="Arial"/>
                <w:b/>
                <w:bCs/>
                <w:sz w:val="21"/>
                <w:szCs w:val="21"/>
              </w:rPr>
            </w:pPr>
            <w:r w:rsidRPr="007274A2">
              <w:rPr>
                <w:rFonts w:ascii="Arial" w:hAnsi="Arial" w:cs="Arial"/>
                <w:b/>
                <w:bCs/>
                <w:sz w:val="21"/>
                <w:szCs w:val="21"/>
              </w:rPr>
              <w:t>Hours of work</w:t>
            </w:r>
          </w:p>
        </w:tc>
        <w:tc>
          <w:tcPr>
            <w:tcW w:w="6802" w:type="dxa"/>
          </w:tcPr>
          <w:p w14:paraId="2C2A1BCD" w14:textId="77777777" w:rsidR="007274A2" w:rsidRDefault="007274A2" w:rsidP="005302C5">
            <w:pPr>
              <w:rPr>
                <w:rFonts w:ascii="Arial" w:hAnsi="Arial" w:cs="Arial"/>
                <w:sz w:val="21"/>
                <w:szCs w:val="21"/>
              </w:rPr>
            </w:pPr>
            <w:r w:rsidRPr="007274A2">
              <w:rPr>
                <w:rFonts w:ascii="Arial" w:hAnsi="Arial" w:cs="Arial"/>
                <w:sz w:val="21"/>
                <w:szCs w:val="21"/>
              </w:rPr>
              <w:t>BPP’s core hours for most full-time staff are Monday–Friday, 9am–5:30pm (37.5 hours per week)</w:t>
            </w:r>
          </w:p>
          <w:p w14:paraId="4B5C2366" w14:textId="77777777" w:rsidR="007274A2" w:rsidRPr="007274A2" w:rsidRDefault="007274A2" w:rsidP="005302C5">
            <w:pPr>
              <w:rPr>
                <w:rFonts w:ascii="Arial" w:hAnsi="Arial" w:cs="Arial"/>
                <w:sz w:val="21"/>
                <w:szCs w:val="21"/>
              </w:rPr>
            </w:pPr>
          </w:p>
        </w:tc>
      </w:tr>
      <w:tr w:rsidR="007274A2" w:rsidRPr="007274A2" w14:paraId="6A6BE6C5" w14:textId="77777777" w:rsidTr="35B2AC91">
        <w:tc>
          <w:tcPr>
            <w:tcW w:w="1838" w:type="dxa"/>
          </w:tcPr>
          <w:p w14:paraId="6FB8F6D3" w14:textId="77777777" w:rsidR="007274A2" w:rsidRPr="007274A2" w:rsidRDefault="007274A2" w:rsidP="005302C5">
            <w:pPr>
              <w:rPr>
                <w:rFonts w:ascii="Arial" w:hAnsi="Arial" w:cs="Arial"/>
                <w:b/>
                <w:bCs/>
                <w:sz w:val="21"/>
                <w:szCs w:val="21"/>
              </w:rPr>
            </w:pPr>
            <w:r w:rsidRPr="007274A2">
              <w:rPr>
                <w:rFonts w:ascii="Arial" w:hAnsi="Arial" w:cs="Arial"/>
                <w:b/>
                <w:bCs/>
                <w:sz w:val="21"/>
                <w:szCs w:val="21"/>
              </w:rPr>
              <w:t>Reporting lines</w:t>
            </w:r>
          </w:p>
        </w:tc>
        <w:tc>
          <w:tcPr>
            <w:tcW w:w="6802" w:type="dxa"/>
          </w:tcPr>
          <w:p w14:paraId="558F1A29" w14:textId="77777777" w:rsidR="007274A2" w:rsidRDefault="007274A2" w:rsidP="005302C5">
            <w:pPr>
              <w:rPr>
                <w:rFonts w:ascii="Arial" w:hAnsi="Arial" w:cs="Arial"/>
                <w:sz w:val="21"/>
                <w:szCs w:val="21"/>
              </w:rPr>
            </w:pPr>
            <w:r w:rsidRPr="007274A2">
              <w:rPr>
                <w:rFonts w:ascii="Arial" w:hAnsi="Arial" w:cs="Arial"/>
                <w:sz w:val="21"/>
                <w:szCs w:val="21"/>
              </w:rPr>
              <w:t xml:space="preserve">Associate Dean – </w:t>
            </w:r>
            <w:proofErr w:type="spellStart"/>
            <w:r w:rsidRPr="007274A2">
              <w:rPr>
                <w:rFonts w:ascii="Arial" w:hAnsi="Arial" w:cs="Arial"/>
                <w:sz w:val="21"/>
                <w:szCs w:val="21"/>
              </w:rPr>
              <w:t>Programmes</w:t>
            </w:r>
            <w:proofErr w:type="spellEnd"/>
            <w:r w:rsidRPr="007274A2">
              <w:rPr>
                <w:rFonts w:ascii="Arial" w:hAnsi="Arial" w:cs="Arial"/>
                <w:sz w:val="21"/>
                <w:szCs w:val="21"/>
              </w:rPr>
              <w:t xml:space="preserve"> &amp; Regulatory Compliance</w:t>
            </w:r>
          </w:p>
          <w:p w14:paraId="25E201CD" w14:textId="77777777" w:rsidR="007274A2" w:rsidRPr="007274A2" w:rsidRDefault="007274A2" w:rsidP="005302C5">
            <w:pPr>
              <w:rPr>
                <w:rFonts w:ascii="Arial" w:hAnsi="Arial" w:cs="Arial"/>
                <w:sz w:val="21"/>
                <w:szCs w:val="21"/>
              </w:rPr>
            </w:pPr>
          </w:p>
        </w:tc>
      </w:tr>
    </w:tbl>
    <w:p w14:paraId="042FAFCE" w14:textId="77777777" w:rsidR="007274A2" w:rsidRDefault="007274A2" w:rsidP="0087512F">
      <w:pPr>
        <w:pStyle w:val="BodyText1"/>
        <w:rPr>
          <w:rFonts w:ascii="Arial" w:hAnsi="Arial" w:cs="Arial"/>
          <w:b/>
          <w:bCs/>
          <w:sz w:val="21"/>
          <w:szCs w:val="21"/>
        </w:rPr>
      </w:pPr>
    </w:p>
    <w:p w14:paraId="01C8EDE4" w14:textId="77777777" w:rsidR="007274A2" w:rsidRDefault="007274A2" w:rsidP="0087512F">
      <w:pPr>
        <w:pStyle w:val="BodyText1"/>
        <w:rPr>
          <w:rFonts w:ascii="Arial" w:hAnsi="Arial" w:cs="Arial"/>
          <w:b/>
          <w:bCs/>
          <w:sz w:val="21"/>
          <w:szCs w:val="21"/>
        </w:rPr>
      </w:pPr>
    </w:p>
    <w:p w14:paraId="4A836F8D" w14:textId="77777777" w:rsidR="0087512F" w:rsidRDefault="0087512F" w:rsidP="0087512F">
      <w:pPr>
        <w:pStyle w:val="BodyText1"/>
        <w:rPr>
          <w:rFonts w:ascii="Arial" w:hAnsi="Arial" w:cs="Arial"/>
          <w:b/>
          <w:bCs/>
          <w:sz w:val="21"/>
          <w:szCs w:val="21"/>
        </w:rPr>
      </w:pPr>
      <w:r w:rsidRPr="002774EA">
        <w:rPr>
          <w:rFonts w:ascii="Arial" w:hAnsi="Arial" w:cs="Arial"/>
          <w:b/>
          <w:bCs/>
          <w:sz w:val="21"/>
          <w:szCs w:val="21"/>
        </w:rPr>
        <w:t>Job Purpose</w:t>
      </w:r>
    </w:p>
    <w:p w14:paraId="2F5B3FE7" w14:textId="77777777" w:rsidR="0087512F" w:rsidRPr="007E54FF" w:rsidRDefault="0087512F" w:rsidP="0087512F">
      <w:pPr>
        <w:pStyle w:val="BodyText1"/>
        <w:rPr>
          <w:rFonts w:ascii="Arial" w:hAnsi="Arial" w:cs="Arial"/>
          <w:b/>
          <w:bCs/>
          <w:sz w:val="21"/>
          <w:szCs w:val="21"/>
        </w:rPr>
      </w:pPr>
    </w:p>
    <w:p w14:paraId="1E64B3E2" w14:textId="5F6B5D42" w:rsidR="001D45D3" w:rsidRPr="001D45D3" w:rsidRDefault="001D45D3" w:rsidP="001D45D3">
      <w:pPr>
        <w:pStyle w:val="BodyText1"/>
        <w:rPr>
          <w:rFonts w:ascii="Arial" w:hAnsi="Arial" w:cs="Arial"/>
          <w:sz w:val="21"/>
          <w:szCs w:val="21"/>
        </w:rPr>
      </w:pPr>
      <w:r w:rsidRPr="001D45D3">
        <w:rPr>
          <w:rFonts w:ascii="Arial" w:hAnsi="Arial" w:cs="Arial"/>
          <w:sz w:val="21"/>
          <w:szCs w:val="21"/>
        </w:rPr>
        <w:t xml:space="preserve">The School of Healthcare and Nursing delivers a diverse portfolio of programmes across multiple health disciplines, each aligned with the standards and expectations of relevant regulatory bodies. As the School enters a strategic phase of growth, we are seeking a highly motivated individual to contribute to the </w:t>
      </w:r>
      <w:r w:rsidR="00130704">
        <w:rPr>
          <w:rFonts w:ascii="Arial" w:hAnsi="Arial" w:cs="Arial"/>
          <w:sz w:val="21"/>
          <w:szCs w:val="21"/>
        </w:rPr>
        <w:t xml:space="preserve">regulatory </w:t>
      </w:r>
      <w:r w:rsidRPr="001D45D3">
        <w:rPr>
          <w:rFonts w:ascii="Arial" w:hAnsi="Arial" w:cs="Arial"/>
          <w:sz w:val="21"/>
          <w:szCs w:val="21"/>
        </w:rPr>
        <w:t>assurance and compliance agenda, supporting alignment with regulatory frameworks governing higher education, professional registration, and apprenticeship provision.</w:t>
      </w:r>
      <w:r>
        <w:rPr>
          <w:rFonts w:ascii="Arial" w:hAnsi="Arial" w:cs="Arial"/>
          <w:sz w:val="21"/>
          <w:szCs w:val="21"/>
        </w:rPr>
        <w:br/>
      </w:r>
    </w:p>
    <w:p w14:paraId="1855A132" w14:textId="77777777" w:rsidR="001D45D3" w:rsidRPr="001D45D3" w:rsidRDefault="001D45D3" w:rsidP="001D45D3">
      <w:pPr>
        <w:pStyle w:val="BodyText1"/>
        <w:rPr>
          <w:rFonts w:ascii="Arial" w:hAnsi="Arial" w:cs="Arial"/>
          <w:sz w:val="21"/>
          <w:szCs w:val="21"/>
        </w:rPr>
      </w:pPr>
      <w:r w:rsidRPr="001D45D3">
        <w:rPr>
          <w:rFonts w:ascii="Arial" w:hAnsi="Arial" w:cs="Arial"/>
          <w:sz w:val="21"/>
          <w:szCs w:val="21"/>
        </w:rPr>
        <w:t>This role plays a critical part in ensuring institutional compliance with a range of external bodies, including the Nursing and Midwifery Council (NMC), Health and Care Professions Council (HCPC), General Pharmaceutical Council (GPhC), Office for Students (</w:t>
      </w:r>
      <w:proofErr w:type="spellStart"/>
      <w:r w:rsidRPr="001D45D3">
        <w:rPr>
          <w:rFonts w:ascii="Arial" w:hAnsi="Arial" w:cs="Arial"/>
          <w:sz w:val="21"/>
          <w:szCs w:val="21"/>
        </w:rPr>
        <w:t>OfS</w:t>
      </w:r>
      <w:proofErr w:type="spellEnd"/>
      <w:r w:rsidRPr="001D45D3">
        <w:rPr>
          <w:rFonts w:ascii="Arial" w:hAnsi="Arial" w:cs="Arial"/>
          <w:sz w:val="21"/>
          <w:szCs w:val="21"/>
        </w:rPr>
        <w:t>), and Ofsted.</w:t>
      </w:r>
    </w:p>
    <w:p w14:paraId="2815C891" w14:textId="77777777" w:rsidR="001D45D3" w:rsidRPr="001D45D3" w:rsidRDefault="001D45D3" w:rsidP="001D45D3">
      <w:pPr>
        <w:pStyle w:val="BodyText1"/>
        <w:rPr>
          <w:rFonts w:ascii="Arial" w:hAnsi="Arial" w:cs="Arial"/>
          <w:sz w:val="21"/>
          <w:szCs w:val="21"/>
        </w:rPr>
      </w:pPr>
      <w:r w:rsidRPr="001D45D3">
        <w:rPr>
          <w:rFonts w:ascii="Arial" w:hAnsi="Arial" w:cs="Arial"/>
          <w:sz w:val="21"/>
          <w:szCs w:val="21"/>
        </w:rPr>
        <w:t>Working collaboratively with academic and professional services colleagues, the post holder will support the development and maintenance of robust governance structures, promote regulatory preparedness, and foster a culture of proactive compliance and continuous enhancement across all programmes.</w:t>
      </w:r>
    </w:p>
    <w:p w14:paraId="046A32FD" w14:textId="77777777" w:rsidR="00112B0E" w:rsidRDefault="00112B0E" w:rsidP="00112B0E">
      <w:pPr>
        <w:pStyle w:val="BodyText1"/>
        <w:rPr>
          <w:rFonts w:ascii="Arial" w:hAnsi="Arial" w:cs="Arial"/>
          <w:b/>
          <w:bCs/>
          <w:sz w:val="21"/>
          <w:szCs w:val="21"/>
        </w:rPr>
      </w:pPr>
    </w:p>
    <w:p w14:paraId="3FCB0B97" w14:textId="77777777" w:rsidR="0087512F" w:rsidRDefault="0087512F" w:rsidP="0087512F">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6B887905" w14:textId="77777777" w:rsidR="0087512F" w:rsidRPr="009A0863" w:rsidRDefault="0087512F" w:rsidP="0087512F">
      <w:pPr>
        <w:pStyle w:val="BodyText1"/>
        <w:rPr>
          <w:rFonts w:ascii="Arial" w:hAnsi="Arial" w:cs="Arial"/>
          <w:sz w:val="21"/>
          <w:szCs w:val="21"/>
        </w:rPr>
      </w:pPr>
    </w:p>
    <w:p w14:paraId="03FB5180" w14:textId="77777777" w:rsidR="007274A2" w:rsidRPr="007274A2" w:rsidRDefault="007274A2" w:rsidP="007274A2">
      <w:pPr>
        <w:pStyle w:val="ListBullet"/>
        <w:numPr>
          <w:ilvl w:val="0"/>
          <w:numId w:val="0"/>
        </w:numPr>
        <w:ind w:left="360" w:hanging="360"/>
        <w:rPr>
          <w:rFonts w:ascii="Arial" w:hAnsi="Arial" w:cs="Arial"/>
          <w:b/>
          <w:bCs/>
          <w:sz w:val="21"/>
          <w:szCs w:val="21"/>
        </w:rPr>
      </w:pPr>
      <w:r w:rsidRPr="007274A2">
        <w:rPr>
          <w:rFonts w:ascii="Arial" w:hAnsi="Arial" w:cs="Arial"/>
          <w:b/>
          <w:bCs/>
          <w:sz w:val="21"/>
          <w:szCs w:val="21"/>
        </w:rPr>
        <w:t>External Compliance and Regulatory Oversight</w:t>
      </w:r>
    </w:p>
    <w:p w14:paraId="5B7241B6" w14:textId="77777777" w:rsidR="007274A2" w:rsidRPr="007274A2" w:rsidRDefault="007274A2" w:rsidP="007274A2">
      <w:pPr>
        <w:pStyle w:val="ListBullet2"/>
        <w:tabs>
          <w:tab w:val="num" w:pos="720"/>
        </w:tabs>
        <w:ind w:left="720" w:hanging="360"/>
        <w:rPr>
          <w:rFonts w:ascii="Arial" w:hAnsi="Arial" w:cs="Arial"/>
          <w:sz w:val="21"/>
          <w:szCs w:val="21"/>
        </w:rPr>
      </w:pPr>
      <w:r w:rsidRPr="007274A2">
        <w:rPr>
          <w:rFonts w:ascii="Arial" w:hAnsi="Arial" w:cs="Arial"/>
          <w:sz w:val="21"/>
          <w:szCs w:val="21"/>
        </w:rPr>
        <w:t>Support the Associate Dean (</w:t>
      </w:r>
      <w:proofErr w:type="spellStart"/>
      <w:r w:rsidRPr="007274A2">
        <w:rPr>
          <w:rFonts w:ascii="Arial" w:hAnsi="Arial" w:cs="Arial"/>
          <w:sz w:val="21"/>
          <w:szCs w:val="21"/>
        </w:rPr>
        <w:t>Programmes</w:t>
      </w:r>
      <w:proofErr w:type="spellEnd"/>
      <w:r w:rsidRPr="007274A2">
        <w:rPr>
          <w:rFonts w:ascii="Arial" w:hAnsi="Arial" w:cs="Arial"/>
          <w:sz w:val="21"/>
          <w:szCs w:val="21"/>
        </w:rPr>
        <w:t xml:space="preserve"> &amp; Regulatory Compliance) in ensuring the </w:t>
      </w:r>
      <w:proofErr w:type="gramStart"/>
      <w:r w:rsidRPr="007274A2">
        <w:rPr>
          <w:rFonts w:ascii="Arial" w:hAnsi="Arial" w:cs="Arial"/>
          <w:sz w:val="21"/>
          <w:szCs w:val="21"/>
        </w:rPr>
        <w:t>School</w:t>
      </w:r>
      <w:proofErr w:type="gramEnd"/>
      <w:r w:rsidRPr="007274A2">
        <w:rPr>
          <w:rFonts w:ascii="Arial" w:hAnsi="Arial" w:cs="Arial"/>
          <w:sz w:val="21"/>
          <w:szCs w:val="21"/>
        </w:rPr>
        <w:t xml:space="preserve"> meets the requirements of PSRBs (NMC, HCPC, GPhC), </w:t>
      </w:r>
      <w:proofErr w:type="spellStart"/>
      <w:r w:rsidRPr="007274A2">
        <w:rPr>
          <w:rFonts w:ascii="Arial" w:hAnsi="Arial" w:cs="Arial"/>
          <w:sz w:val="21"/>
          <w:szCs w:val="21"/>
        </w:rPr>
        <w:t>OfS</w:t>
      </w:r>
      <w:proofErr w:type="spellEnd"/>
      <w:r w:rsidRPr="007274A2">
        <w:rPr>
          <w:rFonts w:ascii="Arial" w:hAnsi="Arial" w:cs="Arial"/>
          <w:sz w:val="21"/>
          <w:szCs w:val="21"/>
        </w:rPr>
        <w:t>, and Ofsted.</w:t>
      </w:r>
    </w:p>
    <w:p w14:paraId="494FD562" w14:textId="77777777" w:rsidR="007274A2" w:rsidRPr="007274A2" w:rsidRDefault="007274A2" w:rsidP="007274A2">
      <w:pPr>
        <w:pStyle w:val="ListBullet2"/>
        <w:tabs>
          <w:tab w:val="num" w:pos="720"/>
        </w:tabs>
        <w:ind w:left="720" w:hanging="360"/>
        <w:rPr>
          <w:rFonts w:ascii="Arial" w:hAnsi="Arial" w:cs="Arial"/>
          <w:sz w:val="21"/>
          <w:szCs w:val="21"/>
        </w:rPr>
      </w:pPr>
      <w:r w:rsidRPr="007274A2">
        <w:rPr>
          <w:rFonts w:ascii="Arial" w:hAnsi="Arial" w:cs="Arial"/>
          <w:sz w:val="21"/>
          <w:szCs w:val="21"/>
        </w:rPr>
        <w:t>Maintain oversight of apprenticeship compliance, including funding rules, Education Inspection Framework (EIF), and Skills Scan / KSB alignment.</w:t>
      </w:r>
    </w:p>
    <w:p w14:paraId="16B9EA85" w14:textId="77777777" w:rsidR="007274A2" w:rsidRPr="007274A2" w:rsidRDefault="007274A2" w:rsidP="007274A2">
      <w:pPr>
        <w:pStyle w:val="ListBullet2"/>
        <w:tabs>
          <w:tab w:val="num" w:pos="720"/>
        </w:tabs>
        <w:ind w:left="720" w:hanging="360"/>
        <w:rPr>
          <w:rFonts w:ascii="Arial" w:hAnsi="Arial" w:cs="Arial"/>
          <w:sz w:val="21"/>
          <w:szCs w:val="21"/>
        </w:rPr>
      </w:pPr>
      <w:r w:rsidRPr="007274A2">
        <w:rPr>
          <w:rFonts w:ascii="Arial" w:hAnsi="Arial" w:cs="Arial"/>
          <w:sz w:val="21"/>
          <w:szCs w:val="21"/>
        </w:rPr>
        <w:t xml:space="preserve">Contribute to self-assessment and regulatory reporting (ASR, QAR, Ofsted SAR), ensuring evidence is accurate, consistent, and </w:t>
      </w:r>
      <w:proofErr w:type="gramStart"/>
      <w:r w:rsidRPr="007274A2">
        <w:rPr>
          <w:rFonts w:ascii="Arial" w:hAnsi="Arial" w:cs="Arial"/>
          <w:sz w:val="21"/>
          <w:szCs w:val="21"/>
        </w:rPr>
        <w:t>audit-ready</w:t>
      </w:r>
      <w:proofErr w:type="gramEnd"/>
      <w:r w:rsidRPr="007274A2">
        <w:rPr>
          <w:rFonts w:ascii="Arial" w:hAnsi="Arial" w:cs="Arial"/>
          <w:sz w:val="21"/>
          <w:szCs w:val="21"/>
        </w:rPr>
        <w:t>.</w:t>
      </w:r>
    </w:p>
    <w:p w14:paraId="7566A297" w14:textId="77777777" w:rsidR="007274A2" w:rsidRPr="007274A2" w:rsidRDefault="007274A2" w:rsidP="007274A2">
      <w:pPr>
        <w:pStyle w:val="ListBullet2"/>
        <w:tabs>
          <w:tab w:val="num" w:pos="720"/>
        </w:tabs>
        <w:ind w:left="720" w:hanging="360"/>
        <w:rPr>
          <w:rFonts w:ascii="Arial" w:hAnsi="Arial" w:cs="Arial"/>
          <w:sz w:val="21"/>
          <w:szCs w:val="21"/>
        </w:rPr>
      </w:pPr>
      <w:r w:rsidRPr="007274A2">
        <w:rPr>
          <w:rFonts w:ascii="Arial" w:hAnsi="Arial" w:cs="Arial"/>
          <w:sz w:val="21"/>
          <w:szCs w:val="21"/>
        </w:rPr>
        <w:t>Support external reviews, inspections, and revalidation events, coordinating documentation, data, and stakeholder briefings.</w:t>
      </w:r>
    </w:p>
    <w:p w14:paraId="7D78767C" w14:textId="5D52BF5B" w:rsidR="007274A2" w:rsidRPr="007274A2" w:rsidRDefault="007274A2" w:rsidP="007274A2">
      <w:pPr>
        <w:pStyle w:val="ListBullet2"/>
        <w:tabs>
          <w:tab w:val="num" w:pos="720"/>
        </w:tabs>
        <w:ind w:left="720" w:hanging="360"/>
        <w:rPr>
          <w:rFonts w:ascii="Arial" w:hAnsi="Arial" w:cs="Arial"/>
          <w:sz w:val="21"/>
          <w:szCs w:val="21"/>
        </w:rPr>
      </w:pPr>
      <w:r w:rsidRPr="007274A2">
        <w:rPr>
          <w:rFonts w:ascii="Arial" w:hAnsi="Arial" w:cs="Arial"/>
          <w:sz w:val="21"/>
          <w:szCs w:val="21"/>
        </w:rPr>
        <w:lastRenderedPageBreak/>
        <w:t xml:space="preserve">Liaise with </w:t>
      </w:r>
      <w:r w:rsidR="00015525">
        <w:rPr>
          <w:rFonts w:ascii="Arial" w:hAnsi="Arial" w:cs="Arial"/>
          <w:sz w:val="21"/>
          <w:szCs w:val="21"/>
        </w:rPr>
        <w:t xml:space="preserve">BPP acquisitions </w:t>
      </w:r>
      <w:r w:rsidRPr="007274A2">
        <w:rPr>
          <w:rFonts w:ascii="Arial" w:hAnsi="Arial" w:cs="Arial"/>
          <w:sz w:val="21"/>
          <w:szCs w:val="21"/>
        </w:rPr>
        <w:t xml:space="preserve">and other partners to ensure consistent compliance across collaborative </w:t>
      </w:r>
      <w:r>
        <w:rPr>
          <w:rFonts w:ascii="Arial" w:hAnsi="Arial" w:cs="Arial"/>
          <w:sz w:val="21"/>
          <w:szCs w:val="21"/>
        </w:rPr>
        <w:t>programme</w:t>
      </w:r>
      <w:r w:rsidRPr="007274A2">
        <w:rPr>
          <w:rFonts w:ascii="Arial" w:hAnsi="Arial" w:cs="Arial"/>
          <w:sz w:val="21"/>
          <w:szCs w:val="21"/>
        </w:rPr>
        <w:t xml:space="preserve"> delivery.</w:t>
      </w:r>
    </w:p>
    <w:p w14:paraId="11666803" w14:textId="77777777" w:rsidR="007274A2" w:rsidRPr="007274A2" w:rsidRDefault="007274A2" w:rsidP="007274A2">
      <w:pPr>
        <w:pStyle w:val="ListBullet"/>
        <w:numPr>
          <w:ilvl w:val="0"/>
          <w:numId w:val="0"/>
        </w:numPr>
        <w:ind w:left="360" w:hanging="360"/>
        <w:rPr>
          <w:rFonts w:ascii="Arial" w:hAnsi="Arial" w:cs="Arial"/>
          <w:b/>
          <w:bCs/>
          <w:sz w:val="21"/>
          <w:szCs w:val="21"/>
        </w:rPr>
      </w:pPr>
      <w:r w:rsidRPr="007274A2">
        <w:rPr>
          <w:rFonts w:ascii="Arial" w:hAnsi="Arial" w:cs="Arial"/>
          <w:b/>
          <w:bCs/>
          <w:sz w:val="21"/>
          <w:szCs w:val="21"/>
        </w:rPr>
        <w:t>Internal Quality Assurance and Process Development</w:t>
      </w:r>
    </w:p>
    <w:p w14:paraId="20B10366" w14:textId="77777777" w:rsidR="007274A2" w:rsidRPr="007274A2" w:rsidRDefault="007274A2" w:rsidP="007274A2">
      <w:pPr>
        <w:pStyle w:val="ListBullet2"/>
        <w:tabs>
          <w:tab w:val="num" w:pos="720"/>
        </w:tabs>
        <w:ind w:left="720" w:hanging="360"/>
        <w:rPr>
          <w:rFonts w:ascii="Arial" w:hAnsi="Arial" w:cs="Arial"/>
          <w:sz w:val="21"/>
          <w:szCs w:val="21"/>
        </w:rPr>
      </w:pPr>
      <w:r w:rsidRPr="007274A2">
        <w:rPr>
          <w:rFonts w:ascii="Arial" w:hAnsi="Arial" w:cs="Arial"/>
          <w:sz w:val="21"/>
          <w:szCs w:val="21"/>
        </w:rPr>
        <w:t xml:space="preserve">Monitor adherence to internal policies (Assessment, Admissions, Fitness to </w:t>
      </w:r>
      <w:proofErr w:type="spellStart"/>
      <w:r w:rsidRPr="007274A2">
        <w:rPr>
          <w:rFonts w:ascii="Arial" w:hAnsi="Arial" w:cs="Arial"/>
          <w:sz w:val="21"/>
          <w:szCs w:val="21"/>
        </w:rPr>
        <w:t>Practise</w:t>
      </w:r>
      <w:proofErr w:type="spellEnd"/>
      <w:r w:rsidRPr="007274A2">
        <w:rPr>
          <w:rFonts w:ascii="Arial" w:hAnsi="Arial" w:cs="Arial"/>
          <w:sz w:val="21"/>
          <w:szCs w:val="21"/>
        </w:rPr>
        <w:t>, Academic Integrity, etc.) and ensure alignment with external standards.</w:t>
      </w:r>
    </w:p>
    <w:p w14:paraId="41DC1E65" w14:textId="77777777" w:rsidR="007274A2" w:rsidRPr="007274A2" w:rsidRDefault="007274A2" w:rsidP="007274A2">
      <w:pPr>
        <w:pStyle w:val="ListBullet2"/>
        <w:tabs>
          <w:tab w:val="num" w:pos="720"/>
        </w:tabs>
        <w:ind w:left="720" w:hanging="360"/>
        <w:rPr>
          <w:rFonts w:ascii="Arial" w:hAnsi="Arial" w:cs="Arial"/>
          <w:sz w:val="21"/>
          <w:szCs w:val="21"/>
        </w:rPr>
      </w:pPr>
      <w:r w:rsidRPr="007274A2">
        <w:rPr>
          <w:rFonts w:ascii="Arial" w:hAnsi="Arial" w:cs="Arial"/>
          <w:sz w:val="21"/>
          <w:szCs w:val="21"/>
        </w:rPr>
        <w:t>Contribute to the continuous improvement of quality systems, working with Programme Award Leaders to strengthen audit trails and regulatory evidence.</w:t>
      </w:r>
    </w:p>
    <w:p w14:paraId="3486E754" w14:textId="77777777" w:rsidR="007274A2" w:rsidRPr="007274A2" w:rsidRDefault="007274A2" w:rsidP="007274A2">
      <w:pPr>
        <w:pStyle w:val="ListBullet2"/>
        <w:tabs>
          <w:tab w:val="num" w:pos="720"/>
        </w:tabs>
        <w:ind w:left="720" w:hanging="360"/>
        <w:rPr>
          <w:rFonts w:ascii="Arial" w:hAnsi="Arial" w:cs="Arial"/>
          <w:sz w:val="21"/>
          <w:szCs w:val="21"/>
        </w:rPr>
      </w:pPr>
      <w:r w:rsidRPr="007274A2">
        <w:rPr>
          <w:rFonts w:ascii="Arial" w:hAnsi="Arial" w:cs="Arial"/>
          <w:sz w:val="21"/>
          <w:szCs w:val="21"/>
        </w:rPr>
        <w:t>Support the preparation and minute-taking of internal quality meetings (Curriculum Review Group, Programme Committees, Practice Learning Governance).</w:t>
      </w:r>
    </w:p>
    <w:p w14:paraId="366544CD" w14:textId="77777777" w:rsidR="007274A2" w:rsidRPr="007274A2" w:rsidRDefault="007274A2" w:rsidP="007274A2">
      <w:pPr>
        <w:pStyle w:val="ListBullet2"/>
        <w:tabs>
          <w:tab w:val="num" w:pos="720"/>
        </w:tabs>
        <w:ind w:left="720" w:hanging="360"/>
        <w:rPr>
          <w:rFonts w:ascii="Arial" w:hAnsi="Arial" w:cs="Arial"/>
          <w:sz w:val="21"/>
          <w:szCs w:val="21"/>
        </w:rPr>
      </w:pPr>
      <w:r w:rsidRPr="007274A2">
        <w:rPr>
          <w:rFonts w:ascii="Arial" w:hAnsi="Arial" w:cs="Arial"/>
          <w:sz w:val="21"/>
          <w:szCs w:val="21"/>
        </w:rPr>
        <w:t xml:space="preserve">Track compliance actions and conditions arising from PSRB, </w:t>
      </w:r>
      <w:proofErr w:type="spellStart"/>
      <w:r w:rsidRPr="007274A2">
        <w:rPr>
          <w:rFonts w:ascii="Arial" w:hAnsi="Arial" w:cs="Arial"/>
          <w:sz w:val="21"/>
          <w:szCs w:val="21"/>
        </w:rPr>
        <w:t>OfS</w:t>
      </w:r>
      <w:proofErr w:type="spellEnd"/>
      <w:r w:rsidRPr="007274A2">
        <w:rPr>
          <w:rFonts w:ascii="Arial" w:hAnsi="Arial" w:cs="Arial"/>
          <w:sz w:val="21"/>
          <w:szCs w:val="21"/>
        </w:rPr>
        <w:t>, or Ofsted engagements.</w:t>
      </w:r>
    </w:p>
    <w:p w14:paraId="660D4AA8" w14:textId="77777777" w:rsidR="007274A2" w:rsidRPr="007274A2" w:rsidRDefault="007274A2" w:rsidP="007274A2">
      <w:pPr>
        <w:pStyle w:val="ListBullet"/>
        <w:numPr>
          <w:ilvl w:val="0"/>
          <w:numId w:val="0"/>
        </w:numPr>
        <w:ind w:left="360" w:hanging="360"/>
        <w:rPr>
          <w:rFonts w:ascii="Arial" w:hAnsi="Arial" w:cs="Arial"/>
          <w:b/>
          <w:bCs/>
          <w:sz w:val="21"/>
          <w:szCs w:val="21"/>
        </w:rPr>
      </w:pPr>
      <w:r w:rsidRPr="007274A2">
        <w:rPr>
          <w:rFonts w:ascii="Arial" w:hAnsi="Arial" w:cs="Arial"/>
          <w:b/>
          <w:bCs/>
          <w:sz w:val="21"/>
          <w:szCs w:val="21"/>
        </w:rPr>
        <w:t>Data, Reporting, and Audit Readiness</w:t>
      </w:r>
    </w:p>
    <w:p w14:paraId="26F5F53C" w14:textId="77777777" w:rsidR="007274A2" w:rsidRPr="007274A2" w:rsidRDefault="007274A2" w:rsidP="007274A2">
      <w:pPr>
        <w:pStyle w:val="ListBullet2"/>
        <w:tabs>
          <w:tab w:val="num" w:pos="720"/>
        </w:tabs>
        <w:ind w:left="720" w:hanging="360"/>
        <w:rPr>
          <w:rFonts w:ascii="Arial" w:hAnsi="Arial" w:cs="Arial"/>
          <w:sz w:val="21"/>
          <w:szCs w:val="21"/>
        </w:rPr>
      </w:pPr>
      <w:r w:rsidRPr="007274A2">
        <w:rPr>
          <w:rFonts w:ascii="Arial" w:hAnsi="Arial" w:cs="Arial"/>
          <w:sz w:val="21"/>
          <w:szCs w:val="21"/>
        </w:rPr>
        <w:t>Maintain compliance logs, risk registers, and action trackers for internal and external monitoring.</w:t>
      </w:r>
    </w:p>
    <w:p w14:paraId="44CDCF58" w14:textId="77777777" w:rsidR="007274A2" w:rsidRPr="007274A2" w:rsidRDefault="007274A2" w:rsidP="007274A2">
      <w:pPr>
        <w:pStyle w:val="ListBullet2"/>
        <w:tabs>
          <w:tab w:val="num" w:pos="720"/>
        </w:tabs>
        <w:ind w:left="720" w:hanging="360"/>
        <w:rPr>
          <w:rFonts w:ascii="Arial" w:hAnsi="Arial" w:cs="Arial"/>
          <w:sz w:val="21"/>
          <w:szCs w:val="21"/>
        </w:rPr>
      </w:pPr>
      <w:r w:rsidRPr="007274A2">
        <w:rPr>
          <w:rFonts w:ascii="Arial" w:hAnsi="Arial" w:cs="Arial"/>
          <w:sz w:val="21"/>
          <w:szCs w:val="21"/>
        </w:rPr>
        <w:t>Support data integrity and readiness for audit across student records, practice learning evidence, and assessment outcomes.</w:t>
      </w:r>
    </w:p>
    <w:p w14:paraId="269846ED" w14:textId="362F7D9D" w:rsidR="007274A2" w:rsidRPr="007274A2" w:rsidRDefault="007274A2" w:rsidP="007274A2">
      <w:pPr>
        <w:pStyle w:val="ListBullet2"/>
        <w:tabs>
          <w:tab w:val="num" w:pos="720"/>
        </w:tabs>
        <w:ind w:left="720" w:hanging="360"/>
        <w:rPr>
          <w:rFonts w:ascii="Arial" w:hAnsi="Arial" w:cs="Arial"/>
          <w:b/>
          <w:bCs/>
          <w:sz w:val="21"/>
          <w:szCs w:val="21"/>
        </w:rPr>
      </w:pPr>
      <w:r w:rsidRPr="007274A2">
        <w:rPr>
          <w:rFonts w:ascii="Arial" w:hAnsi="Arial" w:cs="Arial"/>
          <w:sz w:val="21"/>
          <w:szCs w:val="21"/>
        </w:rPr>
        <w:t>Produce summary assurance reports for School leadership and the central Quality and Compliance Office</w:t>
      </w:r>
      <w:r w:rsidR="00D70906">
        <w:rPr>
          <w:rFonts w:ascii="Arial" w:hAnsi="Arial" w:cs="Arial"/>
          <w:sz w:val="21"/>
          <w:szCs w:val="21"/>
        </w:rPr>
        <w:t xml:space="preserve"> in line with operational processes</w:t>
      </w:r>
    </w:p>
    <w:p w14:paraId="3AE5B16A" w14:textId="77777777" w:rsidR="007274A2" w:rsidRPr="007274A2" w:rsidRDefault="007274A2" w:rsidP="007274A2">
      <w:pPr>
        <w:pStyle w:val="ListBullet"/>
        <w:numPr>
          <w:ilvl w:val="0"/>
          <w:numId w:val="0"/>
        </w:numPr>
        <w:ind w:left="360" w:hanging="360"/>
        <w:rPr>
          <w:rFonts w:ascii="Arial" w:hAnsi="Arial" w:cs="Arial"/>
          <w:b/>
          <w:bCs/>
          <w:sz w:val="21"/>
          <w:szCs w:val="21"/>
        </w:rPr>
      </w:pPr>
      <w:r w:rsidRPr="007274A2">
        <w:rPr>
          <w:rFonts w:ascii="Arial" w:hAnsi="Arial" w:cs="Arial"/>
          <w:b/>
          <w:bCs/>
          <w:sz w:val="21"/>
          <w:szCs w:val="21"/>
        </w:rPr>
        <w:t>Training, Guidance, and Communication</w:t>
      </w:r>
    </w:p>
    <w:p w14:paraId="18D3F5A5" w14:textId="77777777" w:rsidR="007274A2" w:rsidRPr="007274A2" w:rsidRDefault="007274A2" w:rsidP="007274A2">
      <w:pPr>
        <w:pStyle w:val="ListBullet2"/>
        <w:tabs>
          <w:tab w:val="num" w:pos="720"/>
        </w:tabs>
        <w:ind w:left="720" w:hanging="360"/>
        <w:rPr>
          <w:rFonts w:ascii="Arial" w:hAnsi="Arial" w:cs="Arial"/>
          <w:sz w:val="21"/>
          <w:szCs w:val="21"/>
        </w:rPr>
      </w:pPr>
      <w:r w:rsidRPr="007274A2">
        <w:rPr>
          <w:rFonts w:ascii="Arial" w:hAnsi="Arial" w:cs="Arial"/>
          <w:sz w:val="21"/>
          <w:szCs w:val="21"/>
        </w:rPr>
        <w:t>Provide advice and training to academic and professional staff on quality and regulatory processes.</w:t>
      </w:r>
    </w:p>
    <w:p w14:paraId="16836F05" w14:textId="77777777" w:rsidR="007274A2" w:rsidRPr="007274A2" w:rsidRDefault="007274A2" w:rsidP="007274A2">
      <w:pPr>
        <w:pStyle w:val="ListBullet2"/>
        <w:tabs>
          <w:tab w:val="num" w:pos="720"/>
        </w:tabs>
        <w:ind w:left="720" w:hanging="360"/>
        <w:rPr>
          <w:rFonts w:ascii="Arial" w:hAnsi="Arial" w:cs="Arial"/>
          <w:sz w:val="21"/>
          <w:szCs w:val="21"/>
        </w:rPr>
      </w:pPr>
      <w:r w:rsidRPr="007274A2">
        <w:rPr>
          <w:rFonts w:ascii="Arial" w:hAnsi="Arial" w:cs="Arial"/>
          <w:sz w:val="21"/>
          <w:szCs w:val="21"/>
        </w:rPr>
        <w:t>Develop guidance documents and communications to support compliance in daily operations.</w:t>
      </w:r>
    </w:p>
    <w:p w14:paraId="6D97947F" w14:textId="4F1D765A" w:rsidR="0087512F" w:rsidRPr="007274A2" w:rsidRDefault="007274A2" w:rsidP="0087512F">
      <w:pPr>
        <w:pStyle w:val="ListBullet2"/>
        <w:tabs>
          <w:tab w:val="num" w:pos="720"/>
        </w:tabs>
        <w:ind w:left="720" w:hanging="360"/>
        <w:rPr>
          <w:rFonts w:ascii="Arial" w:hAnsi="Arial" w:cs="Arial"/>
          <w:sz w:val="21"/>
          <w:szCs w:val="21"/>
        </w:rPr>
      </w:pPr>
      <w:r w:rsidRPr="007274A2">
        <w:rPr>
          <w:rFonts w:ascii="Arial" w:hAnsi="Arial" w:cs="Arial"/>
          <w:sz w:val="21"/>
          <w:szCs w:val="21"/>
        </w:rPr>
        <w:t>Contribute to university-wide working groups and projects related to regulation, quality assurance, and apprenticeship governance.</w:t>
      </w:r>
    </w:p>
    <w:p w14:paraId="6B28CAB0" w14:textId="77777777" w:rsidR="0087512F" w:rsidRDefault="0087512F" w:rsidP="0087512F">
      <w:pPr>
        <w:pStyle w:val="BodyText1"/>
        <w:rPr>
          <w:rFonts w:ascii="Arial" w:hAnsi="Arial" w:cs="Arial"/>
          <w:sz w:val="21"/>
          <w:szCs w:val="21"/>
        </w:rPr>
      </w:pPr>
    </w:p>
    <w:p w14:paraId="5C113D8A" w14:textId="72FFCE60" w:rsidR="00303881" w:rsidRDefault="007274A2" w:rsidP="00CA5B36">
      <w:pPr>
        <w:rPr>
          <w:rFonts w:ascii="Arial" w:hAnsi="Arial" w:cs="Arial"/>
          <w:b/>
          <w:bCs/>
          <w:sz w:val="21"/>
          <w:szCs w:val="21"/>
        </w:rPr>
      </w:pPr>
      <w:r>
        <w:rPr>
          <w:rFonts w:ascii="Arial" w:hAnsi="Arial" w:cs="Arial"/>
          <w:b/>
          <w:bCs/>
          <w:sz w:val="21"/>
          <w:szCs w:val="21"/>
        </w:rPr>
        <w:t>Qualifications &amp; Knowledge</w:t>
      </w:r>
    </w:p>
    <w:tbl>
      <w:tblPr>
        <w:tblW w:w="82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3409"/>
        <w:gridCol w:w="3296"/>
      </w:tblGrid>
      <w:tr w:rsidR="00303881" w:rsidRPr="003A6845" w14:paraId="1C4ABF56" w14:textId="77777777" w:rsidTr="00DA0BD5">
        <w:trPr>
          <w:trHeight w:val="300"/>
        </w:trPr>
        <w:tc>
          <w:tcPr>
            <w:tcW w:w="1545" w:type="dxa"/>
            <w:tcBorders>
              <w:top w:val="single" w:sz="6" w:space="0" w:color="auto"/>
              <w:left w:val="single" w:sz="6" w:space="0" w:color="auto"/>
              <w:bottom w:val="single" w:sz="6" w:space="0" w:color="auto"/>
              <w:right w:val="single" w:sz="6" w:space="0" w:color="auto"/>
            </w:tcBorders>
            <w:hideMark/>
          </w:tcPr>
          <w:p w14:paraId="6839F392" w14:textId="77777777" w:rsidR="00303881" w:rsidRPr="003A6845" w:rsidRDefault="00303881" w:rsidP="005914F8">
            <w:pPr>
              <w:rPr>
                <w:rFonts w:ascii="Calibri" w:hAnsi="Calibri" w:cs="Calibri"/>
                <w:color w:val="000000"/>
              </w:rPr>
            </w:pPr>
            <w:r w:rsidRPr="003A6845">
              <w:rPr>
                <w:rFonts w:ascii="Calibri" w:hAnsi="Calibri" w:cs="Calibri"/>
                <w:color w:val="000000"/>
              </w:rPr>
              <w:t> </w:t>
            </w:r>
          </w:p>
        </w:tc>
        <w:tc>
          <w:tcPr>
            <w:tcW w:w="3409" w:type="dxa"/>
            <w:tcBorders>
              <w:top w:val="single" w:sz="6" w:space="0" w:color="auto"/>
              <w:left w:val="single" w:sz="6" w:space="0" w:color="auto"/>
              <w:bottom w:val="single" w:sz="6" w:space="0" w:color="auto"/>
              <w:right w:val="single" w:sz="6" w:space="0" w:color="auto"/>
            </w:tcBorders>
            <w:hideMark/>
          </w:tcPr>
          <w:p w14:paraId="12422865" w14:textId="77777777" w:rsidR="00303881" w:rsidRPr="003A6845" w:rsidRDefault="00303881" w:rsidP="005914F8">
            <w:pPr>
              <w:rPr>
                <w:rFonts w:ascii="Calibri" w:hAnsi="Calibri" w:cs="Calibri"/>
                <w:color w:val="000000"/>
              </w:rPr>
            </w:pPr>
            <w:r w:rsidRPr="003A6845">
              <w:rPr>
                <w:rFonts w:ascii="Calibri" w:hAnsi="Calibri" w:cs="Calibri"/>
                <w:b/>
                <w:bCs/>
                <w:color w:val="000000"/>
              </w:rPr>
              <w:t>Essential</w:t>
            </w:r>
            <w:r w:rsidRPr="003A6845">
              <w:rPr>
                <w:rFonts w:ascii="Calibri" w:hAnsi="Calibri" w:cs="Calibri"/>
                <w:color w:val="000000"/>
              </w:rPr>
              <w:t> </w:t>
            </w:r>
          </w:p>
        </w:tc>
        <w:tc>
          <w:tcPr>
            <w:tcW w:w="3296" w:type="dxa"/>
            <w:tcBorders>
              <w:top w:val="single" w:sz="6" w:space="0" w:color="auto"/>
              <w:left w:val="single" w:sz="6" w:space="0" w:color="auto"/>
              <w:bottom w:val="single" w:sz="6" w:space="0" w:color="auto"/>
              <w:right w:val="single" w:sz="6" w:space="0" w:color="auto"/>
            </w:tcBorders>
            <w:hideMark/>
          </w:tcPr>
          <w:p w14:paraId="0F1463F1" w14:textId="77777777" w:rsidR="00303881" w:rsidRPr="003A6845" w:rsidRDefault="00303881" w:rsidP="005914F8">
            <w:pPr>
              <w:rPr>
                <w:rFonts w:ascii="Calibri" w:hAnsi="Calibri" w:cs="Calibri"/>
                <w:color w:val="000000"/>
              </w:rPr>
            </w:pPr>
            <w:r w:rsidRPr="003A6845">
              <w:rPr>
                <w:rFonts w:ascii="Calibri" w:hAnsi="Calibri" w:cs="Calibri"/>
                <w:b/>
                <w:bCs/>
                <w:color w:val="000000"/>
              </w:rPr>
              <w:t>Desirable</w:t>
            </w:r>
            <w:r w:rsidRPr="003A6845">
              <w:rPr>
                <w:rFonts w:ascii="Calibri" w:hAnsi="Calibri" w:cs="Calibri"/>
                <w:color w:val="000000"/>
              </w:rPr>
              <w:t> </w:t>
            </w:r>
          </w:p>
        </w:tc>
      </w:tr>
      <w:tr w:rsidR="00303881" w:rsidRPr="00E8738E" w14:paraId="552E603B" w14:textId="77777777" w:rsidTr="00DA0BD5">
        <w:trPr>
          <w:trHeight w:val="300"/>
        </w:trPr>
        <w:tc>
          <w:tcPr>
            <w:tcW w:w="1545" w:type="dxa"/>
            <w:tcBorders>
              <w:top w:val="single" w:sz="6" w:space="0" w:color="auto"/>
              <w:left w:val="single" w:sz="6" w:space="0" w:color="auto"/>
              <w:bottom w:val="single" w:sz="6" w:space="0" w:color="auto"/>
              <w:right w:val="single" w:sz="6" w:space="0" w:color="auto"/>
            </w:tcBorders>
            <w:hideMark/>
          </w:tcPr>
          <w:p w14:paraId="7A9B1537" w14:textId="77777777" w:rsidR="00303881" w:rsidRPr="00E8738E" w:rsidRDefault="00303881" w:rsidP="005914F8">
            <w:pPr>
              <w:rPr>
                <w:rFonts w:ascii="Calibri" w:hAnsi="Calibri" w:cs="Calibri"/>
                <w:color w:val="000000"/>
              </w:rPr>
            </w:pPr>
            <w:r w:rsidRPr="00E8738E">
              <w:rPr>
                <w:rFonts w:ascii="Calibri" w:hAnsi="Calibri" w:cs="Calibri"/>
                <w:color w:val="000000"/>
              </w:rPr>
              <w:t>Qualifications </w:t>
            </w:r>
          </w:p>
        </w:tc>
        <w:tc>
          <w:tcPr>
            <w:tcW w:w="3409" w:type="dxa"/>
            <w:tcBorders>
              <w:top w:val="single" w:sz="6" w:space="0" w:color="auto"/>
              <w:left w:val="single" w:sz="6" w:space="0" w:color="auto"/>
              <w:bottom w:val="single" w:sz="6" w:space="0" w:color="auto"/>
              <w:right w:val="single" w:sz="6" w:space="0" w:color="auto"/>
            </w:tcBorders>
            <w:hideMark/>
          </w:tcPr>
          <w:p w14:paraId="2A89CA0E" w14:textId="7BCCBBA0" w:rsidR="00303881" w:rsidRPr="00E8738E" w:rsidRDefault="00303881" w:rsidP="00303881">
            <w:pPr>
              <w:numPr>
                <w:ilvl w:val="0"/>
                <w:numId w:val="38"/>
              </w:numPr>
              <w:spacing w:after="0" w:line="240" w:lineRule="auto"/>
              <w:rPr>
                <w:rFonts w:ascii="Calibri" w:hAnsi="Calibri" w:cs="Calibri"/>
                <w:color w:val="000000"/>
              </w:rPr>
            </w:pPr>
            <w:r w:rsidRPr="00E8738E">
              <w:rPr>
                <w:rFonts w:ascii="Calibri" w:hAnsi="Calibri" w:cs="Calibri"/>
                <w:color w:val="000000"/>
              </w:rPr>
              <w:t>Educated to a degree level</w:t>
            </w:r>
            <w:r w:rsidR="0056388C">
              <w:rPr>
                <w:rFonts w:ascii="Calibri" w:hAnsi="Calibri" w:cs="Calibri"/>
                <w:color w:val="000000"/>
              </w:rPr>
              <w:t xml:space="preserve"> or equi</w:t>
            </w:r>
            <w:r w:rsidR="007041FC">
              <w:rPr>
                <w:rFonts w:ascii="Calibri" w:hAnsi="Calibri" w:cs="Calibri"/>
                <w:color w:val="000000"/>
              </w:rPr>
              <w:t xml:space="preserve">valent </w:t>
            </w:r>
          </w:p>
          <w:p w14:paraId="0319444C" w14:textId="77777777" w:rsidR="00303881" w:rsidRPr="00E8738E" w:rsidRDefault="00303881" w:rsidP="005914F8">
            <w:pPr>
              <w:rPr>
                <w:rFonts w:ascii="Calibri" w:hAnsi="Calibri" w:cs="Calibri"/>
                <w:color w:val="000000"/>
              </w:rPr>
            </w:pPr>
          </w:p>
        </w:tc>
        <w:tc>
          <w:tcPr>
            <w:tcW w:w="3296" w:type="dxa"/>
            <w:tcBorders>
              <w:top w:val="single" w:sz="6" w:space="0" w:color="auto"/>
              <w:left w:val="single" w:sz="6" w:space="0" w:color="auto"/>
              <w:bottom w:val="single" w:sz="6" w:space="0" w:color="auto"/>
              <w:right w:val="single" w:sz="6" w:space="0" w:color="auto"/>
            </w:tcBorders>
            <w:hideMark/>
          </w:tcPr>
          <w:p w14:paraId="7B5DB67A" w14:textId="5785DD55" w:rsidR="00303881" w:rsidRPr="00DA0BD5" w:rsidRDefault="00303881" w:rsidP="00DA0BD5">
            <w:pPr>
              <w:pStyle w:val="ListParagraph"/>
              <w:rPr>
                <w:rFonts w:ascii="Calibri" w:hAnsi="Calibri" w:cs="Calibri"/>
                <w:color w:val="000000"/>
              </w:rPr>
            </w:pPr>
          </w:p>
        </w:tc>
      </w:tr>
      <w:tr w:rsidR="00303881" w:rsidRPr="00E8738E" w14:paraId="0AA14714" w14:textId="77777777" w:rsidTr="00DA0BD5">
        <w:trPr>
          <w:trHeight w:val="300"/>
        </w:trPr>
        <w:tc>
          <w:tcPr>
            <w:tcW w:w="1545" w:type="dxa"/>
            <w:tcBorders>
              <w:top w:val="single" w:sz="6" w:space="0" w:color="auto"/>
              <w:left w:val="single" w:sz="6" w:space="0" w:color="auto"/>
              <w:bottom w:val="single" w:sz="6" w:space="0" w:color="auto"/>
              <w:right w:val="single" w:sz="6" w:space="0" w:color="auto"/>
            </w:tcBorders>
            <w:hideMark/>
          </w:tcPr>
          <w:p w14:paraId="6F2E9637" w14:textId="77777777" w:rsidR="00303881" w:rsidRPr="00E8738E" w:rsidRDefault="00303881" w:rsidP="005914F8">
            <w:pPr>
              <w:rPr>
                <w:rFonts w:ascii="Calibri" w:hAnsi="Calibri" w:cs="Calibri"/>
                <w:color w:val="000000"/>
              </w:rPr>
            </w:pPr>
            <w:r w:rsidRPr="00E8738E">
              <w:rPr>
                <w:rFonts w:ascii="Calibri" w:hAnsi="Calibri" w:cs="Calibri"/>
                <w:color w:val="000000"/>
              </w:rPr>
              <w:t>Experience </w:t>
            </w:r>
          </w:p>
        </w:tc>
        <w:tc>
          <w:tcPr>
            <w:tcW w:w="3409" w:type="dxa"/>
            <w:tcBorders>
              <w:top w:val="single" w:sz="6" w:space="0" w:color="auto"/>
              <w:left w:val="single" w:sz="6" w:space="0" w:color="auto"/>
              <w:bottom w:val="single" w:sz="6" w:space="0" w:color="auto"/>
              <w:right w:val="single" w:sz="6" w:space="0" w:color="auto"/>
            </w:tcBorders>
            <w:hideMark/>
          </w:tcPr>
          <w:p w14:paraId="5A6B67F2" w14:textId="77777777" w:rsidR="00303881" w:rsidRPr="009C7B86" w:rsidRDefault="009C7B86" w:rsidP="007041FC">
            <w:pPr>
              <w:numPr>
                <w:ilvl w:val="0"/>
                <w:numId w:val="30"/>
              </w:numPr>
              <w:spacing w:after="0" w:line="240" w:lineRule="auto"/>
              <w:rPr>
                <w:rFonts w:ascii="Calibri" w:hAnsi="Calibri" w:cs="Calibri"/>
                <w:color w:val="000000"/>
              </w:rPr>
            </w:pPr>
            <w:r w:rsidRPr="007274A2">
              <w:rPr>
                <w:rFonts w:ascii="Arial" w:hAnsi="Arial" w:cs="Arial"/>
                <w:sz w:val="21"/>
                <w:szCs w:val="21"/>
              </w:rPr>
              <w:t xml:space="preserve">Strong understanding of one or more of the following regulatory frameworks: NMC, HCPC, GPhC, </w:t>
            </w:r>
            <w:proofErr w:type="spellStart"/>
            <w:r w:rsidRPr="007274A2">
              <w:rPr>
                <w:rFonts w:ascii="Arial" w:hAnsi="Arial" w:cs="Arial"/>
                <w:sz w:val="21"/>
                <w:szCs w:val="21"/>
              </w:rPr>
              <w:t>OfS</w:t>
            </w:r>
            <w:proofErr w:type="spellEnd"/>
            <w:r w:rsidRPr="007274A2">
              <w:rPr>
                <w:rFonts w:ascii="Arial" w:hAnsi="Arial" w:cs="Arial"/>
                <w:sz w:val="21"/>
                <w:szCs w:val="21"/>
              </w:rPr>
              <w:t>, Ofsted, or apprenticeship standards</w:t>
            </w:r>
          </w:p>
          <w:p w14:paraId="08B20B5C" w14:textId="316A8664" w:rsidR="009C7B86" w:rsidRPr="009C7B86" w:rsidRDefault="009C7B86" w:rsidP="007041FC">
            <w:pPr>
              <w:numPr>
                <w:ilvl w:val="0"/>
                <w:numId w:val="30"/>
              </w:numPr>
              <w:spacing w:after="0" w:line="240" w:lineRule="auto"/>
              <w:rPr>
                <w:rFonts w:ascii="Calibri" w:hAnsi="Calibri" w:cs="Calibri"/>
                <w:color w:val="000000"/>
              </w:rPr>
            </w:pPr>
            <w:r w:rsidRPr="007274A2">
              <w:rPr>
                <w:rFonts w:ascii="Arial" w:hAnsi="Arial" w:cs="Arial"/>
                <w:sz w:val="21"/>
                <w:szCs w:val="21"/>
              </w:rPr>
              <w:t xml:space="preserve">Experience in a regulatory compliance or quality assurance </w:t>
            </w:r>
            <w:proofErr w:type="gramStart"/>
            <w:r w:rsidRPr="007274A2">
              <w:rPr>
                <w:rFonts w:ascii="Arial" w:hAnsi="Arial" w:cs="Arial"/>
                <w:sz w:val="21"/>
                <w:szCs w:val="21"/>
              </w:rPr>
              <w:t xml:space="preserve">role </w:t>
            </w:r>
            <w:r>
              <w:rPr>
                <w:rFonts w:ascii="Arial" w:hAnsi="Arial" w:cs="Arial"/>
                <w:sz w:val="21"/>
                <w:szCs w:val="21"/>
              </w:rPr>
              <w:t xml:space="preserve"> </w:t>
            </w:r>
            <w:r w:rsidRPr="007274A2">
              <w:rPr>
                <w:rFonts w:ascii="Arial" w:hAnsi="Arial" w:cs="Arial"/>
                <w:sz w:val="21"/>
                <w:szCs w:val="21"/>
              </w:rPr>
              <w:t>within</w:t>
            </w:r>
            <w:proofErr w:type="gramEnd"/>
            <w:r w:rsidRPr="007274A2">
              <w:rPr>
                <w:rFonts w:ascii="Arial" w:hAnsi="Arial" w:cs="Arial"/>
                <w:sz w:val="21"/>
                <w:szCs w:val="21"/>
              </w:rPr>
              <w:t xml:space="preserve"> higher education, healthcare education, or apprenticeship provision</w:t>
            </w:r>
          </w:p>
          <w:p w14:paraId="7D5D40D9" w14:textId="77777777" w:rsidR="009C7B86" w:rsidRPr="009C7B86" w:rsidRDefault="009C7B86" w:rsidP="007041FC">
            <w:pPr>
              <w:numPr>
                <w:ilvl w:val="0"/>
                <w:numId w:val="30"/>
              </w:numPr>
              <w:spacing w:after="0" w:line="240" w:lineRule="auto"/>
              <w:rPr>
                <w:rFonts w:ascii="Calibri" w:hAnsi="Calibri" w:cs="Calibri"/>
                <w:color w:val="000000"/>
              </w:rPr>
            </w:pPr>
            <w:r w:rsidRPr="007274A2">
              <w:rPr>
                <w:rFonts w:ascii="Arial" w:hAnsi="Arial" w:cs="Arial"/>
                <w:sz w:val="21"/>
                <w:szCs w:val="21"/>
              </w:rPr>
              <w:t>Knowledge of UK Higher Education sector and quality assurance processes</w:t>
            </w:r>
          </w:p>
          <w:p w14:paraId="33039933" w14:textId="7D8DB0A7" w:rsidR="009C7B86" w:rsidRPr="00E8738E" w:rsidRDefault="009C7B86" w:rsidP="007041FC">
            <w:pPr>
              <w:numPr>
                <w:ilvl w:val="0"/>
                <w:numId w:val="30"/>
              </w:numPr>
              <w:spacing w:after="0" w:line="240" w:lineRule="auto"/>
              <w:rPr>
                <w:rFonts w:ascii="Calibri" w:hAnsi="Calibri" w:cs="Calibri"/>
                <w:color w:val="000000"/>
              </w:rPr>
            </w:pPr>
            <w:r w:rsidRPr="007274A2">
              <w:rPr>
                <w:rFonts w:ascii="Arial" w:hAnsi="Arial" w:cs="Arial"/>
                <w:sz w:val="21"/>
                <w:szCs w:val="21"/>
              </w:rPr>
              <w:lastRenderedPageBreak/>
              <w:t>Demonstrable experience producing regulatory reports, submissions, or self-assessment documents (e.g., ASR, QAR, SAR)</w:t>
            </w:r>
          </w:p>
        </w:tc>
        <w:tc>
          <w:tcPr>
            <w:tcW w:w="3296" w:type="dxa"/>
            <w:tcBorders>
              <w:top w:val="single" w:sz="6" w:space="0" w:color="auto"/>
              <w:left w:val="single" w:sz="6" w:space="0" w:color="auto"/>
              <w:bottom w:val="single" w:sz="6" w:space="0" w:color="auto"/>
              <w:right w:val="single" w:sz="6" w:space="0" w:color="auto"/>
            </w:tcBorders>
            <w:hideMark/>
          </w:tcPr>
          <w:p w14:paraId="046F6B7D" w14:textId="77777777" w:rsidR="00303881" w:rsidRPr="009C7B86" w:rsidRDefault="009C7B86" w:rsidP="00303881">
            <w:pPr>
              <w:numPr>
                <w:ilvl w:val="0"/>
                <w:numId w:val="31"/>
              </w:numPr>
              <w:spacing w:after="0" w:line="240" w:lineRule="auto"/>
              <w:rPr>
                <w:rFonts w:ascii="Calibri" w:hAnsi="Calibri" w:cs="Calibri"/>
                <w:color w:val="000000"/>
              </w:rPr>
            </w:pPr>
            <w:r w:rsidRPr="007274A2">
              <w:rPr>
                <w:rFonts w:ascii="Arial" w:hAnsi="Arial" w:cs="Arial"/>
                <w:sz w:val="21"/>
                <w:szCs w:val="21"/>
              </w:rPr>
              <w:lastRenderedPageBreak/>
              <w:t>Knowledge of AEI governance requirements and PSRB standards (NMC, HCPC, GPhC)</w:t>
            </w:r>
          </w:p>
          <w:p w14:paraId="042E27D7" w14:textId="77777777" w:rsidR="009C7B86" w:rsidRPr="009C7B86" w:rsidRDefault="009C7B86" w:rsidP="00303881">
            <w:pPr>
              <w:numPr>
                <w:ilvl w:val="0"/>
                <w:numId w:val="31"/>
              </w:numPr>
              <w:spacing w:after="0" w:line="240" w:lineRule="auto"/>
              <w:rPr>
                <w:rFonts w:ascii="Calibri" w:hAnsi="Calibri" w:cs="Calibri"/>
                <w:color w:val="000000"/>
              </w:rPr>
            </w:pPr>
            <w:r w:rsidRPr="007274A2">
              <w:rPr>
                <w:rFonts w:ascii="Arial" w:hAnsi="Arial" w:cs="Arial"/>
                <w:sz w:val="21"/>
                <w:szCs w:val="21"/>
              </w:rPr>
              <w:t>Familiarity with Ofsted’s Education Inspection Framework (EIF) and apprenticeship quality frameworks</w:t>
            </w:r>
          </w:p>
          <w:p w14:paraId="5A1FA246" w14:textId="79BB177A" w:rsidR="009C7B86" w:rsidRPr="00E8738E" w:rsidRDefault="009C7B86" w:rsidP="00303881">
            <w:pPr>
              <w:numPr>
                <w:ilvl w:val="0"/>
                <w:numId w:val="31"/>
              </w:numPr>
              <w:spacing w:after="0" w:line="240" w:lineRule="auto"/>
              <w:rPr>
                <w:rFonts w:ascii="Calibri" w:hAnsi="Calibri" w:cs="Calibri"/>
                <w:color w:val="000000"/>
              </w:rPr>
            </w:pPr>
            <w:r w:rsidRPr="007274A2">
              <w:rPr>
                <w:rFonts w:ascii="Arial" w:hAnsi="Arial" w:cs="Arial"/>
                <w:sz w:val="21"/>
                <w:szCs w:val="21"/>
              </w:rPr>
              <w:t>Experience supporting Ofsted or apprenticeship compliance, including EIF and funding rule alignment</w:t>
            </w:r>
          </w:p>
        </w:tc>
      </w:tr>
      <w:tr w:rsidR="00303881" w:rsidRPr="00E8738E" w14:paraId="2B085502" w14:textId="77777777" w:rsidTr="00DA0BD5">
        <w:trPr>
          <w:trHeight w:val="300"/>
        </w:trPr>
        <w:tc>
          <w:tcPr>
            <w:tcW w:w="1545" w:type="dxa"/>
            <w:tcBorders>
              <w:top w:val="single" w:sz="6" w:space="0" w:color="auto"/>
              <w:left w:val="single" w:sz="6" w:space="0" w:color="auto"/>
              <w:bottom w:val="single" w:sz="6" w:space="0" w:color="auto"/>
              <w:right w:val="single" w:sz="6" w:space="0" w:color="auto"/>
            </w:tcBorders>
            <w:hideMark/>
          </w:tcPr>
          <w:p w14:paraId="6830701A" w14:textId="77777777" w:rsidR="00303881" w:rsidRPr="00E8738E" w:rsidRDefault="00303881" w:rsidP="005914F8">
            <w:pPr>
              <w:rPr>
                <w:rFonts w:ascii="Calibri" w:hAnsi="Calibri" w:cs="Calibri"/>
                <w:color w:val="000000"/>
              </w:rPr>
            </w:pPr>
            <w:r w:rsidRPr="00E8738E">
              <w:rPr>
                <w:rFonts w:ascii="Calibri" w:hAnsi="Calibri" w:cs="Calibri"/>
                <w:color w:val="000000"/>
              </w:rPr>
              <w:t>Skills </w:t>
            </w:r>
          </w:p>
        </w:tc>
        <w:tc>
          <w:tcPr>
            <w:tcW w:w="3409" w:type="dxa"/>
            <w:tcBorders>
              <w:top w:val="single" w:sz="6" w:space="0" w:color="auto"/>
              <w:left w:val="single" w:sz="6" w:space="0" w:color="auto"/>
              <w:bottom w:val="single" w:sz="6" w:space="0" w:color="auto"/>
              <w:right w:val="single" w:sz="6" w:space="0" w:color="auto"/>
            </w:tcBorders>
            <w:hideMark/>
          </w:tcPr>
          <w:p w14:paraId="6563BAF0" w14:textId="77777777" w:rsidR="00303881" w:rsidRPr="009C7B86" w:rsidRDefault="009C7B86" w:rsidP="00303881">
            <w:pPr>
              <w:numPr>
                <w:ilvl w:val="0"/>
                <w:numId w:val="37"/>
              </w:numPr>
              <w:spacing w:after="0" w:line="240" w:lineRule="auto"/>
              <w:rPr>
                <w:rFonts w:ascii="Calibri" w:hAnsi="Calibri" w:cs="Calibri"/>
                <w:color w:val="000000"/>
              </w:rPr>
            </w:pPr>
            <w:r w:rsidRPr="00CA5B36">
              <w:rPr>
                <w:rFonts w:ascii="Arial" w:hAnsi="Arial" w:cs="Arial"/>
                <w:sz w:val="21"/>
                <w:szCs w:val="21"/>
              </w:rPr>
              <w:t>Excellent attention to detail and analytical capability</w:t>
            </w:r>
          </w:p>
          <w:p w14:paraId="12FBC606" w14:textId="77777777" w:rsidR="009C7B86" w:rsidRPr="009C7B86" w:rsidRDefault="009C7B86" w:rsidP="00303881">
            <w:pPr>
              <w:numPr>
                <w:ilvl w:val="0"/>
                <w:numId w:val="37"/>
              </w:numPr>
              <w:spacing w:after="0" w:line="240" w:lineRule="auto"/>
              <w:rPr>
                <w:rFonts w:ascii="Calibri" w:hAnsi="Calibri" w:cs="Calibri"/>
                <w:color w:val="000000"/>
              </w:rPr>
            </w:pPr>
            <w:r w:rsidRPr="00CA5B36">
              <w:rPr>
                <w:rFonts w:ascii="Arial" w:hAnsi="Arial" w:cs="Arial"/>
                <w:sz w:val="21"/>
                <w:szCs w:val="21"/>
              </w:rPr>
              <w:t>Strong communication and interpersonal skills, with the ability to build relationships with academic, professional, and external stakeholders</w:t>
            </w:r>
          </w:p>
          <w:p w14:paraId="782D8A17" w14:textId="77777777" w:rsidR="009C7B86" w:rsidRPr="009C7B86" w:rsidRDefault="009C7B86" w:rsidP="00303881">
            <w:pPr>
              <w:numPr>
                <w:ilvl w:val="0"/>
                <w:numId w:val="37"/>
              </w:numPr>
              <w:spacing w:after="0" w:line="240" w:lineRule="auto"/>
              <w:rPr>
                <w:rFonts w:ascii="Calibri" w:hAnsi="Calibri" w:cs="Calibri"/>
                <w:color w:val="000000"/>
              </w:rPr>
            </w:pPr>
            <w:r w:rsidRPr="00CA5B36">
              <w:rPr>
                <w:rFonts w:ascii="Arial" w:hAnsi="Arial" w:cs="Arial"/>
                <w:sz w:val="21"/>
                <w:szCs w:val="21"/>
              </w:rPr>
              <w:t>Confident in using digital systems for evidence management (e.g., SharePoint, Excel, Power BI)</w:t>
            </w:r>
          </w:p>
          <w:p w14:paraId="116F44F5" w14:textId="4E8579D3" w:rsidR="009C7B86" w:rsidRPr="00E8738E" w:rsidRDefault="009C7B86" w:rsidP="00303881">
            <w:pPr>
              <w:numPr>
                <w:ilvl w:val="0"/>
                <w:numId w:val="37"/>
              </w:numPr>
              <w:spacing w:after="0" w:line="240" w:lineRule="auto"/>
              <w:rPr>
                <w:rFonts w:ascii="Calibri" w:hAnsi="Calibri" w:cs="Calibri"/>
                <w:color w:val="000000"/>
              </w:rPr>
            </w:pPr>
          </w:p>
        </w:tc>
        <w:tc>
          <w:tcPr>
            <w:tcW w:w="3296" w:type="dxa"/>
            <w:tcBorders>
              <w:top w:val="single" w:sz="6" w:space="0" w:color="auto"/>
              <w:left w:val="single" w:sz="6" w:space="0" w:color="auto"/>
              <w:bottom w:val="single" w:sz="6" w:space="0" w:color="auto"/>
              <w:right w:val="single" w:sz="6" w:space="0" w:color="auto"/>
            </w:tcBorders>
            <w:hideMark/>
          </w:tcPr>
          <w:p w14:paraId="74B51B68" w14:textId="39EBF30E" w:rsidR="00303881" w:rsidRPr="009C7B86" w:rsidRDefault="009C7B86" w:rsidP="009C7B86">
            <w:pPr>
              <w:pStyle w:val="ListParagraph"/>
              <w:numPr>
                <w:ilvl w:val="0"/>
                <w:numId w:val="37"/>
              </w:numPr>
              <w:rPr>
                <w:rFonts w:ascii="Arial" w:hAnsi="Arial" w:cs="Arial"/>
                <w:sz w:val="21"/>
                <w:szCs w:val="21"/>
              </w:rPr>
            </w:pPr>
            <w:r w:rsidRPr="009C7B86">
              <w:rPr>
                <w:rFonts w:ascii="Arial" w:hAnsi="Arial" w:cs="Arial"/>
                <w:sz w:val="21"/>
                <w:szCs w:val="21"/>
              </w:rPr>
              <w:t>Familiarity with data governance and student record systems</w:t>
            </w:r>
          </w:p>
          <w:p w14:paraId="0B3E37B3" w14:textId="6CEB8E63" w:rsidR="009C7B86" w:rsidRPr="009C7B86" w:rsidRDefault="009C7B86" w:rsidP="009C7B86">
            <w:pPr>
              <w:pStyle w:val="ListParagraph"/>
              <w:numPr>
                <w:ilvl w:val="0"/>
                <w:numId w:val="37"/>
              </w:numPr>
              <w:rPr>
                <w:rFonts w:ascii="Calibri" w:hAnsi="Calibri" w:cs="Calibri"/>
                <w:color w:val="000000"/>
              </w:rPr>
            </w:pPr>
            <w:r w:rsidRPr="009C7B86">
              <w:rPr>
                <w:rFonts w:ascii="Arial" w:hAnsi="Arial" w:cs="Arial"/>
                <w:sz w:val="21"/>
                <w:szCs w:val="21"/>
              </w:rPr>
              <w:t>Ability to synthesise large volumes of regulatory evidence into concise reports</w:t>
            </w:r>
          </w:p>
          <w:p w14:paraId="62E94BA8" w14:textId="77777777" w:rsidR="00303881" w:rsidRPr="00E8738E" w:rsidRDefault="00303881" w:rsidP="005914F8">
            <w:pPr>
              <w:rPr>
                <w:rFonts w:ascii="Calibri" w:hAnsi="Calibri" w:cs="Calibri"/>
                <w:color w:val="000000"/>
              </w:rPr>
            </w:pPr>
            <w:r w:rsidRPr="00E8738E">
              <w:rPr>
                <w:rFonts w:ascii="Calibri" w:hAnsi="Calibri" w:cs="Calibri"/>
                <w:color w:val="000000"/>
              </w:rPr>
              <w:t> </w:t>
            </w:r>
          </w:p>
        </w:tc>
      </w:tr>
      <w:tr w:rsidR="00303881" w:rsidRPr="00E8738E" w14:paraId="466D73BD" w14:textId="77777777" w:rsidTr="00DA0BD5">
        <w:trPr>
          <w:trHeight w:val="300"/>
        </w:trPr>
        <w:tc>
          <w:tcPr>
            <w:tcW w:w="1545" w:type="dxa"/>
            <w:tcBorders>
              <w:top w:val="single" w:sz="6" w:space="0" w:color="auto"/>
              <w:left w:val="single" w:sz="6" w:space="0" w:color="auto"/>
              <w:bottom w:val="single" w:sz="6" w:space="0" w:color="auto"/>
              <w:right w:val="single" w:sz="6" w:space="0" w:color="auto"/>
            </w:tcBorders>
            <w:hideMark/>
          </w:tcPr>
          <w:p w14:paraId="79B1F38E" w14:textId="77777777" w:rsidR="00303881" w:rsidRPr="00E8738E" w:rsidRDefault="00303881" w:rsidP="005914F8">
            <w:pPr>
              <w:rPr>
                <w:rFonts w:ascii="Calibri" w:hAnsi="Calibri" w:cs="Calibri"/>
                <w:color w:val="000000"/>
              </w:rPr>
            </w:pPr>
            <w:r w:rsidRPr="00E8738E">
              <w:rPr>
                <w:rFonts w:ascii="Calibri" w:hAnsi="Calibri" w:cs="Calibri"/>
                <w:color w:val="000000"/>
              </w:rPr>
              <w:t>Values </w:t>
            </w:r>
          </w:p>
        </w:tc>
        <w:tc>
          <w:tcPr>
            <w:tcW w:w="3409" w:type="dxa"/>
            <w:tcBorders>
              <w:top w:val="single" w:sz="6" w:space="0" w:color="auto"/>
              <w:left w:val="single" w:sz="6" w:space="0" w:color="auto"/>
              <w:bottom w:val="single" w:sz="6" w:space="0" w:color="auto"/>
              <w:right w:val="single" w:sz="6" w:space="0" w:color="auto"/>
            </w:tcBorders>
            <w:hideMark/>
          </w:tcPr>
          <w:p w14:paraId="5AADC8A7" w14:textId="77777777" w:rsidR="00303881" w:rsidRPr="00C2433A" w:rsidRDefault="00C2433A" w:rsidP="00303881">
            <w:pPr>
              <w:numPr>
                <w:ilvl w:val="0"/>
                <w:numId w:val="36"/>
              </w:numPr>
              <w:spacing w:after="0" w:line="240" w:lineRule="auto"/>
              <w:rPr>
                <w:rFonts w:ascii="Calibri" w:hAnsi="Calibri" w:cs="Calibri"/>
                <w:color w:val="000000"/>
              </w:rPr>
            </w:pPr>
            <w:r w:rsidRPr="00CA5B36">
              <w:rPr>
                <w:rFonts w:ascii="Arial" w:hAnsi="Arial" w:cs="Arial"/>
                <w:sz w:val="21"/>
                <w:szCs w:val="21"/>
              </w:rPr>
              <w:t>Committed to professional integrity, transparency, and continuous improvement</w:t>
            </w:r>
          </w:p>
          <w:p w14:paraId="1129FE29" w14:textId="77777777" w:rsidR="00C2433A" w:rsidRPr="00C2433A" w:rsidRDefault="00C2433A" w:rsidP="00303881">
            <w:pPr>
              <w:numPr>
                <w:ilvl w:val="0"/>
                <w:numId w:val="36"/>
              </w:numPr>
              <w:spacing w:after="0" w:line="240" w:lineRule="auto"/>
              <w:rPr>
                <w:rFonts w:ascii="Calibri" w:hAnsi="Calibri" w:cs="Calibri"/>
                <w:color w:val="000000"/>
              </w:rPr>
            </w:pPr>
            <w:r w:rsidRPr="00CA5B36">
              <w:rPr>
                <w:rFonts w:ascii="Arial" w:hAnsi="Arial" w:cs="Arial"/>
                <w:sz w:val="21"/>
                <w:szCs w:val="21"/>
              </w:rPr>
              <w:t>Collaborative team player aligned to BPP’s values: Everybody Matters, Trust and Respect, Stronger Together, Embrace Change, Student, Learner and Client Centric</w:t>
            </w:r>
          </w:p>
          <w:p w14:paraId="3AEDFA6D" w14:textId="13082B7C" w:rsidR="00C2433A" w:rsidRPr="00E8738E" w:rsidRDefault="00C2433A" w:rsidP="00303881">
            <w:pPr>
              <w:numPr>
                <w:ilvl w:val="0"/>
                <w:numId w:val="36"/>
              </w:numPr>
              <w:spacing w:after="0" w:line="240" w:lineRule="auto"/>
              <w:rPr>
                <w:rFonts w:ascii="Calibri" w:hAnsi="Calibri" w:cs="Calibri"/>
                <w:color w:val="000000"/>
              </w:rPr>
            </w:pPr>
            <w:r w:rsidRPr="00CA5B36">
              <w:rPr>
                <w:rFonts w:ascii="Arial" w:hAnsi="Arial" w:cs="Arial"/>
                <w:sz w:val="21"/>
                <w:szCs w:val="21"/>
              </w:rPr>
              <w:t>Enthusiastic about supporting safe, high-quality healthcare education leading to professional registration and employment outcomes</w:t>
            </w:r>
          </w:p>
        </w:tc>
        <w:tc>
          <w:tcPr>
            <w:tcW w:w="3296" w:type="dxa"/>
            <w:tcBorders>
              <w:top w:val="single" w:sz="6" w:space="0" w:color="auto"/>
              <w:left w:val="single" w:sz="6" w:space="0" w:color="auto"/>
              <w:bottom w:val="single" w:sz="6" w:space="0" w:color="auto"/>
              <w:right w:val="single" w:sz="6" w:space="0" w:color="auto"/>
            </w:tcBorders>
            <w:hideMark/>
          </w:tcPr>
          <w:p w14:paraId="56AD0389" w14:textId="77777777" w:rsidR="00303881" w:rsidRPr="00E8738E" w:rsidRDefault="00303881" w:rsidP="005914F8">
            <w:pPr>
              <w:rPr>
                <w:rFonts w:ascii="Calibri" w:hAnsi="Calibri" w:cs="Calibri"/>
                <w:color w:val="000000"/>
              </w:rPr>
            </w:pPr>
            <w:r w:rsidRPr="00E8738E">
              <w:rPr>
                <w:rFonts w:ascii="Calibri" w:hAnsi="Calibri" w:cs="Calibri"/>
                <w:color w:val="000000"/>
              </w:rPr>
              <w:t> </w:t>
            </w:r>
          </w:p>
        </w:tc>
      </w:tr>
    </w:tbl>
    <w:p w14:paraId="16173970" w14:textId="77777777" w:rsidR="00CA5B36" w:rsidRDefault="00CA5B36" w:rsidP="00CA5B36">
      <w:pPr>
        <w:pStyle w:val="BodyText1"/>
        <w:rPr>
          <w:rFonts w:ascii="Arial" w:hAnsi="Arial" w:cs="Arial"/>
          <w:b/>
          <w:bCs/>
          <w:sz w:val="21"/>
          <w:szCs w:val="21"/>
        </w:rPr>
      </w:pPr>
    </w:p>
    <w:p w14:paraId="36F48DEC" w14:textId="77777777" w:rsidR="0081719F" w:rsidRPr="0081719F" w:rsidRDefault="0081719F" w:rsidP="0081719F">
      <w:pPr>
        <w:pStyle w:val="BodyText1"/>
        <w:rPr>
          <w:rFonts w:ascii="Arial" w:hAnsi="Arial" w:cs="Arial"/>
          <w:i/>
          <w:iCs/>
          <w:sz w:val="21"/>
          <w:szCs w:val="21"/>
        </w:rPr>
      </w:pPr>
      <w:r w:rsidRPr="0081719F">
        <w:rPr>
          <w:rFonts w:ascii="Arial" w:hAnsi="Arial" w:cs="Arial"/>
          <w:i/>
          <w:iCs/>
          <w:sz w:val="21"/>
          <w:szCs w:val="21"/>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p w14:paraId="1E752534" w14:textId="77777777" w:rsidR="002242CB" w:rsidRPr="002774EA" w:rsidRDefault="002242CB" w:rsidP="0087512F">
      <w:pPr>
        <w:pStyle w:val="BodyText1"/>
        <w:rPr>
          <w:rFonts w:ascii="Arial" w:hAnsi="Arial" w:cs="Arial"/>
          <w:sz w:val="21"/>
          <w:szCs w:val="21"/>
        </w:rPr>
      </w:pPr>
    </w:p>
    <w:sectPr w:rsidR="002242CB" w:rsidRPr="0027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60CF4D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E1209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D7CC3"/>
    <w:multiLevelType w:val="multilevel"/>
    <w:tmpl w:val="1FDA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F73990"/>
    <w:multiLevelType w:val="hybridMultilevel"/>
    <w:tmpl w:val="82BE1C60"/>
    <w:lvl w:ilvl="0" w:tplc="08090001">
      <w:start w:val="1"/>
      <w:numFmt w:val="bullet"/>
      <w:lvlText w:val=""/>
      <w:lvlJc w:val="left"/>
      <w:pPr>
        <w:ind w:left="-758" w:hanging="360"/>
      </w:pPr>
      <w:rPr>
        <w:rFonts w:ascii="Symbol" w:hAnsi="Symbol" w:hint="default"/>
      </w:rPr>
    </w:lvl>
    <w:lvl w:ilvl="1" w:tplc="08090003">
      <w:start w:val="1"/>
      <w:numFmt w:val="bullet"/>
      <w:lvlText w:val="o"/>
      <w:lvlJc w:val="left"/>
      <w:pPr>
        <w:ind w:left="-38" w:hanging="360"/>
      </w:pPr>
      <w:rPr>
        <w:rFonts w:ascii="Courier New" w:hAnsi="Courier New" w:cs="Courier New" w:hint="default"/>
      </w:rPr>
    </w:lvl>
    <w:lvl w:ilvl="2" w:tplc="08090001">
      <w:start w:val="1"/>
      <w:numFmt w:val="bullet"/>
      <w:lvlText w:val=""/>
      <w:lvlJc w:val="left"/>
      <w:pPr>
        <w:ind w:left="682" w:hanging="360"/>
      </w:pPr>
      <w:rPr>
        <w:rFonts w:ascii="Symbol" w:hAnsi="Symbol" w:hint="default"/>
      </w:rPr>
    </w:lvl>
    <w:lvl w:ilvl="3" w:tplc="08090001" w:tentative="1">
      <w:start w:val="1"/>
      <w:numFmt w:val="bullet"/>
      <w:lvlText w:val=""/>
      <w:lvlJc w:val="left"/>
      <w:pPr>
        <w:ind w:left="1402" w:hanging="360"/>
      </w:pPr>
      <w:rPr>
        <w:rFonts w:ascii="Symbol" w:hAnsi="Symbol" w:hint="default"/>
      </w:rPr>
    </w:lvl>
    <w:lvl w:ilvl="4" w:tplc="08090003" w:tentative="1">
      <w:start w:val="1"/>
      <w:numFmt w:val="bullet"/>
      <w:lvlText w:val="o"/>
      <w:lvlJc w:val="left"/>
      <w:pPr>
        <w:ind w:left="2122" w:hanging="360"/>
      </w:pPr>
      <w:rPr>
        <w:rFonts w:ascii="Courier New" w:hAnsi="Courier New" w:cs="Courier New" w:hint="default"/>
      </w:rPr>
    </w:lvl>
    <w:lvl w:ilvl="5" w:tplc="08090005" w:tentative="1">
      <w:start w:val="1"/>
      <w:numFmt w:val="bullet"/>
      <w:lvlText w:val=""/>
      <w:lvlJc w:val="left"/>
      <w:pPr>
        <w:ind w:left="2842" w:hanging="360"/>
      </w:pPr>
      <w:rPr>
        <w:rFonts w:ascii="Wingdings" w:hAnsi="Wingdings" w:hint="default"/>
      </w:rPr>
    </w:lvl>
    <w:lvl w:ilvl="6" w:tplc="08090001" w:tentative="1">
      <w:start w:val="1"/>
      <w:numFmt w:val="bullet"/>
      <w:lvlText w:val=""/>
      <w:lvlJc w:val="left"/>
      <w:pPr>
        <w:ind w:left="3562" w:hanging="360"/>
      </w:pPr>
      <w:rPr>
        <w:rFonts w:ascii="Symbol" w:hAnsi="Symbol" w:hint="default"/>
      </w:rPr>
    </w:lvl>
    <w:lvl w:ilvl="7" w:tplc="08090003" w:tentative="1">
      <w:start w:val="1"/>
      <w:numFmt w:val="bullet"/>
      <w:lvlText w:val="o"/>
      <w:lvlJc w:val="left"/>
      <w:pPr>
        <w:ind w:left="4282" w:hanging="360"/>
      </w:pPr>
      <w:rPr>
        <w:rFonts w:ascii="Courier New" w:hAnsi="Courier New" w:cs="Courier New" w:hint="default"/>
      </w:rPr>
    </w:lvl>
    <w:lvl w:ilvl="8" w:tplc="08090005" w:tentative="1">
      <w:start w:val="1"/>
      <w:numFmt w:val="bullet"/>
      <w:lvlText w:val=""/>
      <w:lvlJc w:val="left"/>
      <w:pPr>
        <w:ind w:left="5002" w:hanging="360"/>
      </w:pPr>
      <w:rPr>
        <w:rFonts w:ascii="Wingdings" w:hAnsi="Wingdings" w:hint="default"/>
      </w:rPr>
    </w:lvl>
  </w:abstractNum>
  <w:abstractNum w:abstractNumId="7" w15:restartNumberingAfterBreak="0">
    <w:nsid w:val="18CA3308"/>
    <w:multiLevelType w:val="hybridMultilevel"/>
    <w:tmpl w:val="01D49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E016B8"/>
    <w:multiLevelType w:val="multilevel"/>
    <w:tmpl w:val="9328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DF016E2"/>
    <w:multiLevelType w:val="hybridMultilevel"/>
    <w:tmpl w:val="3474BE88"/>
    <w:lvl w:ilvl="0" w:tplc="E34A1834">
      <w:numFmt w:val="bullet"/>
      <w:lvlText w:val="·"/>
      <w:lvlJc w:val="left"/>
      <w:pPr>
        <w:ind w:left="0" w:hanging="363"/>
      </w:pPr>
      <w:rPr>
        <w:rFonts w:ascii="Symbol" w:eastAsia="Symbol" w:hAnsi="Symbol" w:cs="Symbol" w:hint="default"/>
        <w:w w:val="99"/>
        <w:sz w:val="21"/>
        <w:szCs w:val="21"/>
        <w:lang w:val="en-US" w:eastAsia="en-US" w:bidi="en-US"/>
      </w:rPr>
    </w:lvl>
    <w:lvl w:ilvl="1" w:tplc="D5FE2292">
      <w:numFmt w:val="bullet"/>
      <w:lvlText w:val="·"/>
      <w:lvlJc w:val="left"/>
      <w:pPr>
        <w:ind w:left="968" w:hanging="363"/>
      </w:pPr>
      <w:rPr>
        <w:rFonts w:ascii="Symbol" w:eastAsia="Symbol" w:hAnsi="Symbol" w:cs="Symbol" w:hint="default"/>
        <w:w w:val="99"/>
        <w:sz w:val="21"/>
        <w:szCs w:val="21"/>
        <w:lang w:val="en-US" w:eastAsia="en-US" w:bidi="en-US"/>
      </w:rPr>
    </w:lvl>
    <w:lvl w:ilvl="2" w:tplc="B9C6813A">
      <w:numFmt w:val="bullet"/>
      <w:lvlText w:val="·"/>
      <w:lvlJc w:val="left"/>
      <w:pPr>
        <w:ind w:left="1936" w:hanging="363"/>
      </w:pPr>
      <w:rPr>
        <w:rFonts w:ascii="Symbol" w:eastAsia="Symbol" w:hAnsi="Symbol" w:cs="Symbol" w:hint="default"/>
        <w:w w:val="99"/>
        <w:sz w:val="21"/>
        <w:szCs w:val="21"/>
        <w:lang w:val="en-US" w:eastAsia="en-US" w:bidi="en-US"/>
      </w:rPr>
    </w:lvl>
    <w:lvl w:ilvl="3" w:tplc="1C0C45FE">
      <w:numFmt w:val="bullet"/>
      <w:lvlText w:val="·"/>
      <w:lvlJc w:val="left"/>
      <w:pPr>
        <w:ind w:left="2904" w:hanging="363"/>
      </w:pPr>
      <w:rPr>
        <w:rFonts w:ascii="Symbol" w:eastAsia="Symbol" w:hAnsi="Symbol" w:cs="Symbol" w:hint="default"/>
        <w:w w:val="99"/>
        <w:sz w:val="21"/>
        <w:szCs w:val="21"/>
        <w:lang w:val="en-US" w:eastAsia="en-US" w:bidi="en-US"/>
      </w:rPr>
    </w:lvl>
    <w:lvl w:ilvl="4" w:tplc="71509CB6">
      <w:numFmt w:val="bullet"/>
      <w:lvlText w:val="·"/>
      <w:lvlJc w:val="left"/>
      <w:pPr>
        <w:ind w:left="3872" w:hanging="363"/>
      </w:pPr>
      <w:rPr>
        <w:rFonts w:ascii="Symbol" w:eastAsia="Symbol" w:hAnsi="Symbol" w:cs="Symbol" w:hint="default"/>
        <w:w w:val="99"/>
        <w:sz w:val="21"/>
        <w:szCs w:val="21"/>
        <w:lang w:val="en-US" w:eastAsia="en-US" w:bidi="en-US"/>
      </w:rPr>
    </w:lvl>
    <w:lvl w:ilvl="5" w:tplc="864EDFAC">
      <w:numFmt w:val="bullet"/>
      <w:lvlText w:val="·"/>
      <w:lvlJc w:val="left"/>
      <w:pPr>
        <w:ind w:left="4840" w:hanging="363"/>
      </w:pPr>
      <w:rPr>
        <w:rFonts w:ascii="Symbol" w:eastAsia="Symbol" w:hAnsi="Symbol" w:cs="Symbol" w:hint="default"/>
        <w:w w:val="99"/>
        <w:sz w:val="21"/>
        <w:szCs w:val="21"/>
        <w:lang w:val="en-US" w:eastAsia="en-US" w:bidi="en-US"/>
      </w:rPr>
    </w:lvl>
    <w:lvl w:ilvl="6" w:tplc="7354E41A">
      <w:numFmt w:val="bullet"/>
      <w:lvlText w:val="·"/>
      <w:lvlJc w:val="left"/>
      <w:pPr>
        <w:ind w:left="5808" w:hanging="363"/>
      </w:pPr>
      <w:rPr>
        <w:rFonts w:ascii="Symbol" w:eastAsia="Symbol" w:hAnsi="Symbol" w:cs="Symbol" w:hint="default"/>
        <w:w w:val="99"/>
        <w:sz w:val="21"/>
        <w:szCs w:val="21"/>
        <w:lang w:val="en-US" w:eastAsia="en-US" w:bidi="en-US"/>
      </w:rPr>
    </w:lvl>
    <w:lvl w:ilvl="7" w:tplc="70943AB8">
      <w:numFmt w:val="bullet"/>
      <w:lvlText w:val="·"/>
      <w:lvlJc w:val="left"/>
      <w:pPr>
        <w:ind w:left="6776" w:hanging="363"/>
      </w:pPr>
      <w:rPr>
        <w:rFonts w:ascii="Symbol" w:eastAsia="Symbol" w:hAnsi="Symbol" w:cs="Symbol" w:hint="default"/>
        <w:w w:val="99"/>
        <w:sz w:val="21"/>
        <w:szCs w:val="21"/>
        <w:lang w:val="en-US" w:eastAsia="en-US" w:bidi="en-US"/>
      </w:rPr>
    </w:lvl>
    <w:lvl w:ilvl="8" w:tplc="1A4C23B8">
      <w:numFmt w:val="bullet"/>
      <w:lvlText w:val="·"/>
      <w:lvlJc w:val="left"/>
      <w:pPr>
        <w:ind w:left="7744" w:hanging="363"/>
      </w:pPr>
      <w:rPr>
        <w:rFonts w:ascii="Symbol" w:eastAsia="Symbol" w:hAnsi="Symbol" w:cs="Symbol" w:hint="default"/>
        <w:w w:val="99"/>
        <w:sz w:val="21"/>
        <w:szCs w:val="21"/>
        <w:lang w:val="en-US" w:eastAsia="en-US" w:bidi="en-US"/>
      </w:rPr>
    </w:lvl>
  </w:abstractNum>
  <w:abstractNum w:abstractNumId="13" w15:restartNumberingAfterBreak="0">
    <w:nsid w:val="2EF5215C"/>
    <w:multiLevelType w:val="multilevel"/>
    <w:tmpl w:val="9328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9D29ED"/>
    <w:multiLevelType w:val="hybridMultilevel"/>
    <w:tmpl w:val="22C2C9BE"/>
    <w:lvl w:ilvl="0" w:tplc="F9FAB1E8">
      <w:numFmt w:val="bullet"/>
      <w:lvlText w:val="·"/>
      <w:lvlJc w:val="left"/>
      <w:pPr>
        <w:ind w:left="0" w:hanging="363"/>
      </w:pPr>
      <w:rPr>
        <w:rFonts w:ascii="Symbol" w:eastAsia="Symbol" w:hAnsi="Symbol" w:cs="Symbol" w:hint="default"/>
        <w:w w:val="99"/>
        <w:sz w:val="22"/>
        <w:szCs w:val="22"/>
        <w:lang w:val="en-US" w:eastAsia="en-US" w:bidi="en-US"/>
      </w:rPr>
    </w:lvl>
    <w:lvl w:ilvl="1" w:tplc="9DA8E53C">
      <w:numFmt w:val="bullet"/>
      <w:lvlText w:val="·"/>
      <w:lvlJc w:val="left"/>
      <w:pPr>
        <w:ind w:left="968" w:hanging="363"/>
      </w:pPr>
      <w:rPr>
        <w:rFonts w:ascii="Symbol" w:eastAsia="Symbol" w:hAnsi="Symbol" w:cs="Symbol" w:hint="default"/>
        <w:w w:val="99"/>
        <w:sz w:val="22"/>
        <w:szCs w:val="22"/>
        <w:lang w:val="en-US" w:eastAsia="en-US" w:bidi="en-US"/>
      </w:rPr>
    </w:lvl>
    <w:lvl w:ilvl="2" w:tplc="C2AA74AA">
      <w:numFmt w:val="bullet"/>
      <w:lvlText w:val="·"/>
      <w:lvlJc w:val="left"/>
      <w:pPr>
        <w:ind w:left="1936" w:hanging="363"/>
      </w:pPr>
      <w:rPr>
        <w:rFonts w:ascii="Symbol" w:eastAsia="Symbol" w:hAnsi="Symbol" w:cs="Symbol" w:hint="default"/>
        <w:w w:val="99"/>
        <w:sz w:val="22"/>
        <w:szCs w:val="22"/>
        <w:lang w:val="en-US" w:eastAsia="en-US" w:bidi="en-US"/>
      </w:rPr>
    </w:lvl>
    <w:lvl w:ilvl="3" w:tplc="100C00C6">
      <w:numFmt w:val="bullet"/>
      <w:lvlText w:val="·"/>
      <w:lvlJc w:val="left"/>
      <w:pPr>
        <w:ind w:left="2904" w:hanging="363"/>
      </w:pPr>
      <w:rPr>
        <w:rFonts w:ascii="Symbol" w:eastAsia="Symbol" w:hAnsi="Symbol" w:cs="Symbol" w:hint="default"/>
        <w:w w:val="99"/>
        <w:sz w:val="22"/>
        <w:szCs w:val="22"/>
        <w:lang w:val="en-US" w:eastAsia="en-US" w:bidi="en-US"/>
      </w:rPr>
    </w:lvl>
    <w:lvl w:ilvl="4" w:tplc="2564E842">
      <w:numFmt w:val="bullet"/>
      <w:lvlText w:val="·"/>
      <w:lvlJc w:val="left"/>
      <w:pPr>
        <w:ind w:left="3872" w:hanging="363"/>
      </w:pPr>
      <w:rPr>
        <w:rFonts w:ascii="Symbol" w:eastAsia="Symbol" w:hAnsi="Symbol" w:cs="Symbol" w:hint="default"/>
        <w:w w:val="99"/>
        <w:sz w:val="22"/>
        <w:szCs w:val="22"/>
        <w:lang w:val="en-US" w:eastAsia="en-US" w:bidi="en-US"/>
      </w:rPr>
    </w:lvl>
    <w:lvl w:ilvl="5" w:tplc="E14226CE">
      <w:numFmt w:val="bullet"/>
      <w:lvlText w:val="·"/>
      <w:lvlJc w:val="left"/>
      <w:pPr>
        <w:ind w:left="4840" w:hanging="363"/>
      </w:pPr>
      <w:rPr>
        <w:rFonts w:ascii="Symbol" w:eastAsia="Symbol" w:hAnsi="Symbol" w:cs="Symbol" w:hint="default"/>
        <w:w w:val="99"/>
        <w:sz w:val="22"/>
        <w:szCs w:val="22"/>
        <w:lang w:val="en-US" w:eastAsia="en-US" w:bidi="en-US"/>
      </w:rPr>
    </w:lvl>
    <w:lvl w:ilvl="6" w:tplc="0928B0F4">
      <w:numFmt w:val="bullet"/>
      <w:lvlText w:val="·"/>
      <w:lvlJc w:val="left"/>
      <w:pPr>
        <w:ind w:left="5808" w:hanging="363"/>
      </w:pPr>
      <w:rPr>
        <w:rFonts w:ascii="Symbol" w:eastAsia="Symbol" w:hAnsi="Symbol" w:cs="Symbol" w:hint="default"/>
        <w:w w:val="99"/>
        <w:sz w:val="22"/>
        <w:szCs w:val="22"/>
        <w:lang w:val="en-US" w:eastAsia="en-US" w:bidi="en-US"/>
      </w:rPr>
    </w:lvl>
    <w:lvl w:ilvl="7" w:tplc="073C0446">
      <w:numFmt w:val="bullet"/>
      <w:lvlText w:val="·"/>
      <w:lvlJc w:val="left"/>
      <w:pPr>
        <w:ind w:left="6776" w:hanging="363"/>
      </w:pPr>
      <w:rPr>
        <w:rFonts w:ascii="Symbol" w:eastAsia="Symbol" w:hAnsi="Symbol" w:cs="Symbol" w:hint="default"/>
        <w:w w:val="99"/>
        <w:sz w:val="22"/>
        <w:szCs w:val="22"/>
        <w:lang w:val="en-US" w:eastAsia="en-US" w:bidi="en-US"/>
      </w:rPr>
    </w:lvl>
    <w:lvl w:ilvl="8" w:tplc="30EC5EFC">
      <w:numFmt w:val="bullet"/>
      <w:lvlText w:val="·"/>
      <w:lvlJc w:val="left"/>
      <w:pPr>
        <w:ind w:left="7744" w:hanging="363"/>
      </w:pPr>
      <w:rPr>
        <w:rFonts w:ascii="Symbol" w:eastAsia="Symbol" w:hAnsi="Symbol" w:cs="Symbol" w:hint="default"/>
        <w:w w:val="99"/>
        <w:sz w:val="22"/>
        <w:szCs w:val="22"/>
        <w:lang w:val="en-US" w:eastAsia="en-US" w:bidi="en-US"/>
      </w:rPr>
    </w:lvl>
  </w:abstractNum>
  <w:abstractNum w:abstractNumId="15"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5705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B3D4AFD"/>
    <w:multiLevelType w:val="multilevel"/>
    <w:tmpl w:val="2AD8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F0CD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FDE08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36B4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82E4852"/>
    <w:multiLevelType w:val="hybridMultilevel"/>
    <w:tmpl w:val="7676E9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3F6568"/>
    <w:multiLevelType w:val="multilevel"/>
    <w:tmpl w:val="93280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7D0C0B"/>
    <w:multiLevelType w:val="multilevel"/>
    <w:tmpl w:val="5EFC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EA7176"/>
    <w:multiLevelType w:val="hybridMultilevel"/>
    <w:tmpl w:val="0E38BB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805D01"/>
    <w:multiLevelType w:val="multilevel"/>
    <w:tmpl w:val="878A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372641"/>
    <w:multiLevelType w:val="multilevel"/>
    <w:tmpl w:val="8CFC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A115B"/>
    <w:multiLevelType w:val="hybridMultilevel"/>
    <w:tmpl w:val="1890B338"/>
    <w:lvl w:ilvl="0" w:tplc="08090001">
      <w:start w:val="1"/>
      <w:numFmt w:val="bullet"/>
      <w:lvlText w:val=""/>
      <w:lvlJc w:val="left"/>
      <w:pPr>
        <w:ind w:left="357" w:hanging="360"/>
      </w:pPr>
      <w:rPr>
        <w:rFonts w:ascii="Symbol" w:hAnsi="Symbol" w:hint="default"/>
      </w:rPr>
    </w:lvl>
    <w:lvl w:ilvl="1" w:tplc="08090003" w:tentative="1">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29"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CE00CE"/>
    <w:multiLevelType w:val="hybridMultilevel"/>
    <w:tmpl w:val="1CE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2" w15:restartNumberingAfterBreak="0">
    <w:nsid w:val="6A74431C"/>
    <w:multiLevelType w:val="hybridMultilevel"/>
    <w:tmpl w:val="9A76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C3174A"/>
    <w:multiLevelType w:val="hybridMultilevel"/>
    <w:tmpl w:val="695EC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8D2713"/>
    <w:multiLevelType w:val="multilevel"/>
    <w:tmpl w:val="9328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D35D43"/>
    <w:multiLevelType w:val="hybridMultilevel"/>
    <w:tmpl w:val="0EECB8E4"/>
    <w:lvl w:ilvl="0" w:tplc="B2AC10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360A56"/>
    <w:multiLevelType w:val="hybridMultilevel"/>
    <w:tmpl w:val="8E68A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8" w15:restartNumberingAfterBreak="0">
    <w:nsid w:val="7CE23784"/>
    <w:multiLevelType w:val="multilevel"/>
    <w:tmpl w:val="F8DE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35877">
    <w:abstractNumId w:val="3"/>
  </w:num>
  <w:num w:numId="2" w16cid:durableId="1688873337">
    <w:abstractNumId w:val="2"/>
  </w:num>
  <w:num w:numId="3" w16cid:durableId="955135482">
    <w:abstractNumId w:val="29"/>
  </w:num>
  <w:num w:numId="4" w16cid:durableId="927730467">
    <w:abstractNumId w:val="37"/>
  </w:num>
  <w:num w:numId="5" w16cid:durableId="136847805">
    <w:abstractNumId w:val="4"/>
  </w:num>
  <w:num w:numId="6" w16cid:durableId="1170363755">
    <w:abstractNumId w:val="39"/>
  </w:num>
  <w:num w:numId="7" w16cid:durableId="23362844">
    <w:abstractNumId w:val="31"/>
  </w:num>
  <w:num w:numId="8" w16cid:durableId="1566993059">
    <w:abstractNumId w:val="11"/>
  </w:num>
  <w:num w:numId="9" w16cid:durableId="598758650">
    <w:abstractNumId w:val="15"/>
  </w:num>
  <w:num w:numId="10" w16cid:durableId="405733393">
    <w:abstractNumId w:val="8"/>
  </w:num>
  <w:num w:numId="11" w16cid:durableId="869756760">
    <w:abstractNumId w:val="27"/>
  </w:num>
  <w:num w:numId="12" w16cid:durableId="860389294">
    <w:abstractNumId w:val="9"/>
  </w:num>
  <w:num w:numId="13" w16cid:durableId="465245507">
    <w:abstractNumId w:val="19"/>
  </w:num>
  <w:num w:numId="14" w16cid:durableId="1569263174">
    <w:abstractNumId w:val="20"/>
  </w:num>
  <w:num w:numId="15" w16cid:durableId="1208033405">
    <w:abstractNumId w:val="16"/>
  </w:num>
  <w:num w:numId="16" w16cid:durableId="69499748">
    <w:abstractNumId w:val="18"/>
  </w:num>
  <w:num w:numId="17" w16cid:durableId="1326780379">
    <w:abstractNumId w:val="32"/>
  </w:num>
  <w:num w:numId="18" w16cid:durableId="1626228149">
    <w:abstractNumId w:val="30"/>
  </w:num>
  <w:num w:numId="19" w16cid:durableId="1953780816">
    <w:abstractNumId w:val="35"/>
  </w:num>
  <w:num w:numId="20" w16cid:durableId="741609772">
    <w:abstractNumId w:val="24"/>
  </w:num>
  <w:num w:numId="21" w16cid:durableId="1756319061">
    <w:abstractNumId w:val="36"/>
  </w:num>
  <w:num w:numId="22" w16cid:durableId="1742219123">
    <w:abstractNumId w:val="14"/>
  </w:num>
  <w:num w:numId="23" w16cid:durableId="207836175">
    <w:abstractNumId w:val="12"/>
  </w:num>
  <w:num w:numId="24" w16cid:durableId="479925683">
    <w:abstractNumId w:val="6"/>
  </w:num>
  <w:num w:numId="25" w16cid:durableId="691036598">
    <w:abstractNumId w:val="28"/>
  </w:num>
  <w:num w:numId="26" w16cid:durableId="1577982696">
    <w:abstractNumId w:val="33"/>
  </w:num>
  <w:num w:numId="27" w16cid:durableId="25756425">
    <w:abstractNumId w:val="21"/>
  </w:num>
  <w:num w:numId="28" w16cid:durableId="1675375947">
    <w:abstractNumId w:val="1"/>
  </w:num>
  <w:num w:numId="29" w16cid:durableId="653535951">
    <w:abstractNumId w:val="0"/>
  </w:num>
  <w:num w:numId="30" w16cid:durableId="1977376082">
    <w:abstractNumId w:val="10"/>
  </w:num>
  <w:num w:numId="31" w16cid:durableId="2051876641">
    <w:abstractNumId w:val="5"/>
  </w:num>
  <w:num w:numId="32" w16cid:durableId="556430199">
    <w:abstractNumId w:val="23"/>
  </w:num>
  <w:num w:numId="33" w16cid:durableId="569198608">
    <w:abstractNumId w:val="17"/>
  </w:num>
  <w:num w:numId="34" w16cid:durableId="247925449">
    <w:abstractNumId w:val="26"/>
  </w:num>
  <w:num w:numId="35" w16cid:durableId="678779114">
    <w:abstractNumId w:val="38"/>
  </w:num>
  <w:num w:numId="36" w16cid:durableId="492914434">
    <w:abstractNumId w:val="25"/>
  </w:num>
  <w:num w:numId="37" w16cid:durableId="1551112701">
    <w:abstractNumId w:val="13"/>
  </w:num>
  <w:num w:numId="38" w16cid:durableId="929237897">
    <w:abstractNumId w:val="7"/>
  </w:num>
  <w:num w:numId="39" w16cid:durableId="1931544207">
    <w:abstractNumId w:val="22"/>
  </w:num>
  <w:num w:numId="40" w16cid:durableId="53963716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15525"/>
    <w:rsid w:val="000229C8"/>
    <w:rsid w:val="00023F57"/>
    <w:rsid w:val="00076E56"/>
    <w:rsid w:val="00083A6C"/>
    <w:rsid w:val="000B578F"/>
    <w:rsid w:val="000C1629"/>
    <w:rsid w:val="000F0A25"/>
    <w:rsid w:val="000F336B"/>
    <w:rsid w:val="000F3BB7"/>
    <w:rsid w:val="00100A18"/>
    <w:rsid w:val="00110D8C"/>
    <w:rsid w:val="00112B0E"/>
    <w:rsid w:val="00112FE5"/>
    <w:rsid w:val="00120011"/>
    <w:rsid w:val="00130704"/>
    <w:rsid w:val="001331FC"/>
    <w:rsid w:val="001358C8"/>
    <w:rsid w:val="001535B1"/>
    <w:rsid w:val="00153B4C"/>
    <w:rsid w:val="00156EA0"/>
    <w:rsid w:val="001727E3"/>
    <w:rsid w:val="0019434F"/>
    <w:rsid w:val="00194A2C"/>
    <w:rsid w:val="001A1324"/>
    <w:rsid w:val="001B6EFA"/>
    <w:rsid w:val="001C1C2C"/>
    <w:rsid w:val="001C27A3"/>
    <w:rsid w:val="001C6547"/>
    <w:rsid w:val="001C6E0A"/>
    <w:rsid w:val="001C7C52"/>
    <w:rsid w:val="001D45D3"/>
    <w:rsid w:val="0021463D"/>
    <w:rsid w:val="00214BB7"/>
    <w:rsid w:val="0021703F"/>
    <w:rsid w:val="002242CB"/>
    <w:rsid w:val="0022780D"/>
    <w:rsid w:val="00235368"/>
    <w:rsid w:val="00235DBE"/>
    <w:rsid w:val="00245A10"/>
    <w:rsid w:val="00255FF7"/>
    <w:rsid w:val="0025648F"/>
    <w:rsid w:val="0026190E"/>
    <w:rsid w:val="002752F8"/>
    <w:rsid w:val="002774EA"/>
    <w:rsid w:val="00281626"/>
    <w:rsid w:val="00285129"/>
    <w:rsid w:val="002B7101"/>
    <w:rsid w:val="002D5405"/>
    <w:rsid w:val="002D6795"/>
    <w:rsid w:val="002E04CD"/>
    <w:rsid w:val="002E3161"/>
    <w:rsid w:val="00303881"/>
    <w:rsid w:val="00311643"/>
    <w:rsid w:val="00315529"/>
    <w:rsid w:val="0032088C"/>
    <w:rsid w:val="00333978"/>
    <w:rsid w:val="00336E0D"/>
    <w:rsid w:val="0035515D"/>
    <w:rsid w:val="00375DEC"/>
    <w:rsid w:val="00385343"/>
    <w:rsid w:val="003A665F"/>
    <w:rsid w:val="003C5D25"/>
    <w:rsid w:val="003E0051"/>
    <w:rsid w:val="003F577A"/>
    <w:rsid w:val="004110E8"/>
    <w:rsid w:val="00411907"/>
    <w:rsid w:val="00413664"/>
    <w:rsid w:val="004210F1"/>
    <w:rsid w:val="00422B69"/>
    <w:rsid w:val="00443CAB"/>
    <w:rsid w:val="00456364"/>
    <w:rsid w:val="00464AED"/>
    <w:rsid w:val="00483C93"/>
    <w:rsid w:val="00483CC9"/>
    <w:rsid w:val="00490710"/>
    <w:rsid w:val="0049531A"/>
    <w:rsid w:val="00495C2E"/>
    <w:rsid w:val="004C463E"/>
    <w:rsid w:val="004E0651"/>
    <w:rsid w:val="00507C7F"/>
    <w:rsid w:val="00515B5E"/>
    <w:rsid w:val="00520B7F"/>
    <w:rsid w:val="0052390F"/>
    <w:rsid w:val="00545A5A"/>
    <w:rsid w:val="0056388C"/>
    <w:rsid w:val="00591781"/>
    <w:rsid w:val="0059529D"/>
    <w:rsid w:val="005B3F97"/>
    <w:rsid w:val="005B558A"/>
    <w:rsid w:val="005C1FD2"/>
    <w:rsid w:val="005C2AEB"/>
    <w:rsid w:val="005E1768"/>
    <w:rsid w:val="005E1F53"/>
    <w:rsid w:val="005F666E"/>
    <w:rsid w:val="00607C97"/>
    <w:rsid w:val="00612405"/>
    <w:rsid w:val="00613A15"/>
    <w:rsid w:val="00614B84"/>
    <w:rsid w:val="00621626"/>
    <w:rsid w:val="00624A5F"/>
    <w:rsid w:val="00627D27"/>
    <w:rsid w:val="00645802"/>
    <w:rsid w:val="00651AD5"/>
    <w:rsid w:val="00662031"/>
    <w:rsid w:val="00667BFF"/>
    <w:rsid w:val="00671250"/>
    <w:rsid w:val="006974FC"/>
    <w:rsid w:val="006C32F4"/>
    <w:rsid w:val="006D5B3E"/>
    <w:rsid w:val="007041FC"/>
    <w:rsid w:val="0070683B"/>
    <w:rsid w:val="00711257"/>
    <w:rsid w:val="00717B9B"/>
    <w:rsid w:val="00726BDC"/>
    <w:rsid w:val="007274A2"/>
    <w:rsid w:val="00752EB2"/>
    <w:rsid w:val="00761DA9"/>
    <w:rsid w:val="0078619B"/>
    <w:rsid w:val="007C2A4B"/>
    <w:rsid w:val="007D35C7"/>
    <w:rsid w:val="007E54FF"/>
    <w:rsid w:val="007F4B5B"/>
    <w:rsid w:val="007F5DDB"/>
    <w:rsid w:val="00801A82"/>
    <w:rsid w:val="0081719F"/>
    <w:rsid w:val="00821F28"/>
    <w:rsid w:val="00824ECE"/>
    <w:rsid w:val="0083788B"/>
    <w:rsid w:val="00856F79"/>
    <w:rsid w:val="0087512F"/>
    <w:rsid w:val="00897DD8"/>
    <w:rsid w:val="008B24B7"/>
    <w:rsid w:val="008B2514"/>
    <w:rsid w:val="008B6264"/>
    <w:rsid w:val="008D2696"/>
    <w:rsid w:val="008D6C22"/>
    <w:rsid w:val="008F1A2A"/>
    <w:rsid w:val="00905248"/>
    <w:rsid w:val="0091109C"/>
    <w:rsid w:val="00921110"/>
    <w:rsid w:val="00927E49"/>
    <w:rsid w:val="009338CA"/>
    <w:rsid w:val="009339D0"/>
    <w:rsid w:val="00935176"/>
    <w:rsid w:val="009451E5"/>
    <w:rsid w:val="00951D0A"/>
    <w:rsid w:val="00953137"/>
    <w:rsid w:val="00971C28"/>
    <w:rsid w:val="009870CD"/>
    <w:rsid w:val="009A0863"/>
    <w:rsid w:val="009B2CF3"/>
    <w:rsid w:val="009C5057"/>
    <w:rsid w:val="009C7B86"/>
    <w:rsid w:val="00A03F28"/>
    <w:rsid w:val="00A2248F"/>
    <w:rsid w:val="00A34305"/>
    <w:rsid w:val="00A40BB0"/>
    <w:rsid w:val="00A51007"/>
    <w:rsid w:val="00A634C2"/>
    <w:rsid w:val="00AA4759"/>
    <w:rsid w:val="00AD2519"/>
    <w:rsid w:val="00AD2E0F"/>
    <w:rsid w:val="00AE3722"/>
    <w:rsid w:val="00AE3D8E"/>
    <w:rsid w:val="00B23DFF"/>
    <w:rsid w:val="00B549BD"/>
    <w:rsid w:val="00B60BAC"/>
    <w:rsid w:val="00B80E73"/>
    <w:rsid w:val="00B84E4B"/>
    <w:rsid w:val="00B84FE7"/>
    <w:rsid w:val="00B85FEF"/>
    <w:rsid w:val="00B86F24"/>
    <w:rsid w:val="00BA3ADE"/>
    <w:rsid w:val="00BA4C89"/>
    <w:rsid w:val="00BB322A"/>
    <w:rsid w:val="00BC0B84"/>
    <w:rsid w:val="00BF06ED"/>
    <w:rsid w:val="00BF3B47"/>
    <w:rsid w:val="00C055E2"/>
    <w:rsid w:val="00C111CF"/>
    <w:rsid w:val="00C1589C"/>
    <w:rsid w:val="00C23813"/>
    <w:rsid w:val="00C23D72"/>
    <w:rsid w:val="00C2433A"/>
    <w:rsid w:val="00C26AAD"/>
    <w:rsid w:val="00C37249"/>
    <w:rsid w:val="00C47EE6"/>
    <w:rsid w:val="00C51B5E"/>
    <w:rsid w:val="00C70D6D"/>
    <w:rsid w:val="00C92245"/>
    <w:rsid w:val="00CA5B36"/>
    <w:rsid w:val="00CA64D8"/>
    <w:rsid w:val="00CB1425"/>
    <w:rsid w:val="00CB3E21"/>
    <w:rsid w:val="00CB495C"/>
    <w:rsid w:val="00CC1038"/>
    <w:rsid w:val="00CD158D"/>
    <w:rsid w:val="00CD531C"/>
    <w:rsid w:val="00CE0206"/>
    <w:rsid w:val="00CE77FF"/>
    <w:rsid w:val="00CF59CC"/>
    <w:rsid w:val="00D0725F"/>
    <w:rsid w:val="00D14252"/>
    <w:rsid w:val="00D17B8F"/>
    <w:rsid w:val="00D221D9"/>
    <w:rsid w:val="00D50700"/>
    <w:rsid w:val="00D6228F"/>
    <w:rsid w:val="00D70906"/>
    <w:rsid w:val="00D801B3"/>
    <w:rsid w:val="00DA06C9"/>
    <w:rsid w:val="00DA0BD5"/>
    <w:rsid w:val="00DA4CBF"/>
    <w:rsid w:val="00DB05E0"/>
    <w:rsid w:val="00DB2499"/>
    <w:rsid w:val="00DB627D"/>
    <w:rsid w:val="00DC1D01"/>
    <w:rsid w:val="00DC2CAD"/>
    <w:rsid w:val="00DE5996"/>
    <w:rsid w:val="00DE7E9F"/>
    <w:rsid w:val="00DF1532"/>
    <w:rsid w:val="00DF717F"/>
    <w:rsid w:val="00E06EA1"/>
    <w:rsid w:val="00E10AE8"/>
    <w:rsid w:val="00E20027"/>
    <w:rsid w:val="00E24B69"/>
    <w:rsid w:val="00E400F2"/>
    <w:rsid w:val="00E45427"/>
    <w:rsid w:val="00E46E6C"/>
    <w:rsid w:val="00E54A7A"/>
    <w:rsid w:val="00E56A04"/>
    <w:rsid w:val="00E57695"/>
    <w:rsid w:val="00E72BE1"/>
    <w:rsid w:val="00E76E2D"/>
    <w:rsid w:val="00E948A7"/>
    <w:rsid w:val="00EB7891"/>
    <w:rsid w:val="00EC2AC6"/>
    <w:rsid w:val="00ED013B"/>
    <w:rsid w:val="00ED5B2F"/>
    <w:rsid w:val="00EF14D7"/>
    <w:rsid w:val="00F076E6"/>
    <w:rsid w:val="00F23970"/>
    <w:rsid w:val="00F23F3F"/>
    <w:rsid w:val="00F337BC"/>
    <w:rsid w:val="00F4395C"/>
    <w:rsid w:val="00F51245"/>
    <w:rsid w:val="00F664EF"/>
    <w:rsid w:val="00F7501D"/>
    <w:rsid w:val="00F93B91"/>
    <w:rsid w:val="00FA175B"/>
    <w:rsid w:val="00FA70C7"/>
    <w:rsid w:val="00FB2BB6"/>
    <w:rsid w:val="00FB54BC"/>
    <w:rsid w:val="00FC4B13"/>
    <w:rsid w:val="00FD3AF1"/>
    <w:rsid w:val="00FD7706"/>
    <w:rsid w:val="00FE6A71"/>
    <w:rsid w:val="00FF5CFC"/>
    <w:rsid w:val="2C622FD1"/>
    <w:rsid w:val="35B2AC91"/>
    <w:rsid w:val="72E25C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EA2F1DA9-6CF8-45C0-A1DC-8EAF879A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customStyle="1" w:styleId="Default">
    <w:name w:val="Default"/>
    <w:rsid w:val="0062162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21626"/>
    <w:pPr>
      <w:spacing w:after="0" w:line="240" w:lineRule="auto"/>
    </w:pPr>
  </w:style>
  <w:style w:type="paragraph" w:styleId="Revision">
    <w:name w:val="Revision"/>
    <w:hidden/>
    <w:uiPriority w:val="99"/>
    <w:semiHidden/>
    <w:rsid w:val="00E06EA1"/>
    <w:pPr>
      <w:spacing w:after="0" w:line="240" w:lineRule="auto"/>
    </w:pPr>
  </w:style>
  <w:style w:type="character" w:styleId="CommentReference">
    <w:name w:val="annotation reference"/>
    <w:basedOn w:val="DefaultParagraphFont"/>
    <w:uiPriority w:val="99"/>
    <w:semiHidden/>
    <w:unhideWhenUsed/>
    <w:rsid w:val="00112B0E"/>
    <w:rPr>
      <w:sz w:val="16"/>
      <w:szCs w:val="16"/>
    </w:rPr>
  </w:style>
  <w:style w:type="table" w:styleId="TableGrid">
    <w:name w:val="Table Grid"/>
    <w:basedOn w:val="TableNormal"/>
    <w:uiPriority w:val="59"/>
    <w:rsid w:val="00BC0B8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CommentText">
    <w:name w:val="annotation text"/>
    <w:basedOn w:val="Normal"/>
    <w:link w:val="CommentTextChar"/>
    <w:uiPriority w:val="99"/>
    <w:unhideWhenUsed/>
    <w:rsid w:val="00AE3722"/>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AE3722"/>
    <w:rPr>
      <w:rFonts w:ascii="Arial" w:eastAsia="Times New Roman" w:hAnsi="Arial" w:cs="Times New Roman"/>
      <w:sz w:val="20"/>
      <w:szCs w:val="20"/>
    </w:rPr>
  </w:style>
  <w:style w:type="paragraph" w:styleId="ListBullet">
    <w:name w:val="List Bullet"/>
    <w:basedOn w:val="Normal"/>
    <w:uiPriority w:val="99"/>
    <w:unhideWhenUsed/>
    <w:rsid w:val="007274A2"/>
    <w:pPr>
      <w:numPr>
        <w:numId w:val="28"/>
      </w:numPr>
      <w:tabs>
        <w:tab w:val="clear" w:pos="360"/>
      </w:tabs>
      <w:spacing w:after="200" w:line="276" w:lineRule="auto"/>
      <w:ind w:left="0" w:firstLine="0"/>
      <w:contextualSpacing/>
    </w:pPr>
    <w:rPr>
      <w:rFonts w:eastAsiaTheme="minorEastAsia"/>
      <w:lang w:val="en-US"/>
    </w:rPr>
  </w:style>
  <w:style w:type="paragraph" w:styleId="ListBullet2">
    <w:name w:val="List Bullet 2"/>
    <w:basedOn w:val="Normal"/>
    <w:uiPriority w:val="99"/>
    <w:unhideWhenUsed/>
    <w:rsid w:val="007274A2"/>
    <w:pPr>
      <w:numPr>
        <w:numId w:val="29"/>
      </w:numPr>
      <w:tabs>
        <w:tab w:val="clear" w:pos="720"/>
      </w:tabs>
      <w:spacing w:after="200" w:line="276" w:lineRule="auto"/>
      <w:ind w:left="0" w:firstLine="0"/>
      <w:contextualSpacing/>
    </w:pPr>
    <w:rPr>
      <w:rFonts w:eastAsiaTheme="minorEastAsia"/>
      <w:lang w:val="en-US"/>
    </w:rPr>
  </w:style>
  <w:style w:type="paragraph" w:styleId="CommentSubject">
    <w:name w:val="annotation subject"/>
    <w:basedOn w:val="CommentText"/>
    <w:next w:val="CommentText"/>
    <w:link w:val="CommentSubjectChar"/>
    <w:uiPriority w:val="99"/>
    <w:semiHidden/>
    <w:unhideWhenUsed/>
    <w:rsid w:val="00E46E6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46E6C"/>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034600">
      <w:bodyDiv w:val="1"/>
      <w:marLeft w:val="0"/>
      <w:marRight w:val="0"/>
      <w:marTop w:val="0"/>
      <w:marBottom w:val="0"/>
      <w:divBdr>
        <w:top w:val="none" w:sz="0" w:space="0" w:color="auto"/>
        <w:left w:val="none" w:sz="0" w:space="0" w:color="auto"/>
        <w:bottom w:val="none" w:sz="0" w:space="0" w:color="auto"/>
        <w:right w:val="none" w:sz="0" w:space="0" w:color="auto"/>
      </w:divBdr>
    </w:div>
    <w:div w:id="391394465">
      <w:bodyDiv w:val="1"/>
      <w:marLeft w:val="0"/>
      <w:marRight w:val="0"/>
      <w:marTop w:val="0"/>
      <w:marBottom w:val="0"/>
      <w:divBdr>
        <w:top w:val="none" w:sz="0" w:space="0" w:color="auto"/>
        <w:left w:val="none" w:sz="0" w:space="0" w:color="auto"/>
        <w:bottom w:val="none" w:sz="0" w:space="0" w:color="auto"/>
        <w:right w:val="none" w:sz="0" w:space="0" w:color="auto"/>
      </w:divBdr>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961065111">
      <w:bodyDiv w:val="1"/>
      <w:marLeft w:val="0"/>
      <w:marRight w:val="0"/>
      <w:marTop w:val="0"/>
      <w:marBottom w:val="0"/>
      <w:divBdr>
        <w:top w:val="none" w:sz="0" w:space="0" w:color="auto"/>
        <w:left w:val="none" w:sz="0" w:space="0" w:color="auto"/>
        <w:bottom w:val="none" w:sz="0" w:space="0" w:color="auto"/>
        <w:right w:val="none" w:sz="0" w:space="0" w:color="auto"/>
      </w:divBdr>
    </w:div>
    <w:div w:id="1975793103">
      <w:bodyDiv w:val="1"/>
      <w:marLeft w:val="0"/>
      <w:marRight w:val="0"/>
      <w:marTop w:val="0"/>
      <w:marBottom w:val="0"/>
      <w:divBdr>
        <w:top w:val="none" w:sz="0" w:space="0" w:color="auto"/>
        <w:left w:val="none" w:sz="0" w:space="0" w:color="auto"/>
        <w:bottom w:val="none" w:sz="0" w:space="0" w:color="auto"/>
        <w:right w:val="none" w:sz="0" w:space="0" w:color="auto"/>
      </w:divBdr>
    </w:div>
    <w:div w:id="211616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E3FAB4415641AA8D25A2F483B385" ma:contentTypeVersion="8" ma:contentTypeDescription="Create a new document." ma:contentTypeScope="" ma:versionID="2cc5b92b6cc4973536e4507ceae43e27">
  <xsd:schema xmlns:xsd="http://www.w3.org/2001/XMLSchema" xmlns:xs="http://www.w3.org/2001/XMLSchema" xmlns:p="http://schemas.microsoft.com/office/2006/metadata/properties" xmlns:ns2="a9eeaffc-9cfe-4362-955b-0c4efe839d84" targetNamespace="http://schemas.microsoft.com/office/2006/metadata/properties" ma:root="true" ma:fieldsID="4f9d70516b6d262cdb09365edf19755c" ns2:_="">
    <xsd:import namespace="a9eeaffc-9cfe-4362-955b-0c4efe83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eaffc-9cfe-4362-955b-0c4efe839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55A56-FFEC-4D6F-B70B-B2BD81E13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eaffc-9cfe-4362-955b-0c4efe83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9A540A-C9D4-4862-9B19-CD866B784559}">
  <ds:schemaRefs>
    <ds:schemaRef ds:uri="http://purl.org/dc/elements/1.1/"/>
    <ds:schemaRef ds:uri="ed3a6655-32a8-4595-bcb5-d3ca71289d4a"/>
    <ds:schemaRef ds:uri="http://purl.org/dc/terms/"/>
    <ds:schemaRef ds:uri="http://purl.org/dc/dcmitype/"/>
    <ds:schemaRef ds:uri="55345548-4612-4a96-809b-6294742fbcb5"/>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4.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5007</Characters>
  <Application>Microsoft Office Word</Application>
  <DocSecurity>0</DocSecurity>
  <Lines>41</Lines>
  <Paragraphs>11</Paragraphs>
  <ScaleCrop>false</ScaleCrop>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Paige Whitcomb</cp:lastModifiedBy>
  <cp:revision>2</cp:revision>
  <dcterms:created xsi:type="dcterms:W3CDTF">2025-10-28T16:57:00Z</dcterms:created>
  <dcterms:modified xsi:type="dcterms:W3CDTF">2025-10-28T16:57:00Z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andC_Tax_1">
    <vt:lpwstr>191;#HR and L＆D|8773581a-81be-40e7-84b3-1a77580f803c</vt:lpwstr>
  </property>
  <property fmtid="{D5CDD505-2E9C-101B-9397-08002B2CF9AE}" pid="4" name="CandC_Tax_4">
    <vt:lpwstr/>
  </property>
  <property fmtid="{D5CDD505-2E9C-101B-9397-08002B2CF9AE}" pid="5" name="CandC_Tax_2">
    <vt:lpwstr/>
  </property>
  <property fmtid="{D5CDD505-2E9C-101B-9397-08002B2CF9AE}" pid="6" name="CandC_Tax_3">
    <vt:lpwstr>12;#Form / Template|4cfb8138-d156-4f85-9f59-36cc5fa6d269</vt:lpwstr>
  </property>
  <property fmtid="{D5CDD505-2E9C-101B-9397-08002B2CF9AE}" pid="7" name="ContentTypeId">
    <vt:lpwstr>0x010100C3CDE3FAB4415641AA8D25A2F483B385</vt:lpwstr>
  </property>
</Properties>
</file>