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1DCB3C0B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Lecturer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27E48C03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925DC">
        <w:rPr>
          <w:rFonts w:asciiTheme="minorHAnsi" w:hAnsiTheme="minorHAnsi" w:cs="Arial"/>
          <w:b/>
          <w:bCs/>
          <w:color w:val="000000"/>
          <w:sz w:val="22"/>
          <w:szCs w:val="22"/>
        </w:rPr>
        <w:t>Part time (3 days) -</w:t>
      </w:r>
      <w:r w:rsidRPr="00763C69">
        <w:rPr>
          <w:rFonts w:ascii="Calibri" w:hAnsi="Calibri" w:cs="Calibri"/>
          <w:b/>
          <w:color w:val="000000"/>
          <w:sz w:val="22"/>
          <w:szCs w:val="22"/>
        </w:rPr>
        <w:t xml:space="preserve">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E9A4B58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77777777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4D58ED3A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For this role, we are interested in hearing from practitioners and/or experienced academics who can teach a range of business management related modules on our MSc and BSc 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F63B423" w14:textId="21CAE8FE" w:rsidR="00B630C1" w:rsidRP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="Calibri" w:hAnsi="Calibri" w:cs="Calibri"/>
          <w:color w:val="000000" w:themeColor="text1"/>
          <w:sz w:val="22"/>
          <w:szCs w:val="22"/>
        </w:rPr>
        <w:t>We are particularly looking for individuals with experience/expertise to support on our</w:t>
      </w:r>
      <w:r w:rsidR="00C15FC3">
        <w:rPr>
          <w:rFonts w:ascii="Calibri" w:hAnsi="Calibri" w:cs="Calibri"/>
          <w:color w:val="000000" w:themeColor="text1"/>
          <w:sz w:val="22"/>
          <w:szCs w:val="22"/>
        </w:rPr>
        <w:t xml:space="preserve"> HR and Hospitality modules</w:t>
      </w:r>
      <w:r w:rsidRPr="1692712A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62284" w:rsidRPr="1692712A">
        <w:rPr>
          <w:rFonts w:ascii="Calibri" w:hAnsi="Calibri" w:cs="Calibri"/>
          <w:color w:val="000000" w:themeColor="text1"/>
          <w:sz w:val="22"/>
          <w:szCs w:val="22"/>
        </w:rPr>
        <w:t xml:space="preserve">  Candidates must hold a MSc qualification to teach on our MSc programme.</w:t>
      </w: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77777777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 via the Adobe Connect platform).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 xml:space="preserve">may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B7F7603" w14:textId="23DF1726" w:rsidR="00B62284" w:rsidRDefault="00B622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289DA7C5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lastRenderedPageBreak/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3CFFE0AD" w:rsidR="007B70B9" w:rsidRPr="00AC35AA" w:rsidRDefault="001C413B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MSc 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qualification.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43" w14:textId="266F6E09" w:rsidR="001A7B05" w:rsidRPr="005921AA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r w:rsidR="00711538">
              <w:rPr>
                <w:rFonts w:asciiTheme="minorHAnsi" w:hAnsiTheme="minorHAnsi" w:cs="Calibri"/>
                <w:sz w:val="22"/>
                <w:szCs w:val="22"/>
              </w:rPr>
              <w:t>qualification.</w:t>
            </w:r>
          </w:p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77777777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PGCLT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0BCD449A" w14:textId="77777777" w:rsidR="00C77D99" w:rsidRP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  <w:p w14:paraId="5CCD6F6E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632215">
    <w:abstractNumId w:val="0"/>
  </w:num>
  <w:num w:numId="2" w16cid:durableId="1709447949">
    <w:abstractNumId w:val="2"/>
  </w:num>
  <w:num w:numId="3" w16cid:durableId="1647783125">
    <w:abstractNumId w:val="1"/>
  </w:num>
  <w:num w:numId="4" w16cid:durableId="41292247">
    <w:abstractNumId w:val="3"/>
  </w:num>
  <w:num w:numId="5" w16cid:durableId="2032101864">
    <w:abstractNumId w:val="5"/>
  </w:num>
  <w:num w:numId="6" w16cid:durableId="15723048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3390"/>
    <w:rsid w:val="000419C6"/>
    <w:rsid w:val="0004519B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9770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5DC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15FC3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C0118"/>
    <w:rsid w:val="00CD0783"/>
    <w:rsid w:val="00CD2535"/>
    <w:rsid w:val="00CD2822"/>
    <w:rsid w:val="00CD4E18"/>
    <w:rsid w:val="00CE29FA"/>
    <w:rsid w:val="00CF0EEF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1CBF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83C3B"/>
    <w:rsid w:val="00F843FB"/>
    <w:rsid w:val="00FA299C"/>
    <w:rsid w:val="00FA7158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Company>BPP College of Professional Studies Ltd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2</cp:revision>
  <cp:lastPrinted>2015-07-13T08:04:00Z</cp:lastPrinted>
  <dcterms:created xsi:type="dcterms:W3CDTF">2025-04-17T10:23:00Z</dcterms:created>
  <dcterms:modified xsi:type="dcterms:W3CDTF">2025-04-17T10:23:00Z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